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ZustVBLH (Bayern) — Feststellung der Gleichwertigkeit ausländischer Ausbildungsnachweise</w:t>
      </w:r>
    </w:p>
    <w:p>
      <w:r>
        <w:rPr>
          <w:color w:val="555555"/>
          <w:sz w:val="18"/>
        </w:rPr>
        <w:t xml:space="preserve">Zuständigkeitsverordnung-BerufsbildungLw/Hw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Zuständige Stelle für die Feststellung der Gleichwertigkeit im Ausland erworbener Ausbildungsnachweise nach dem Bayerischen Berufsqualifikationsfeststellungsgesetz ist für die Berufe Staatlich geprüfter Forstingenieur/Staatlich geprüfte Forstingenieurin sowie Staatlich geprüfter Forstassessor/Staatlich geprüfte Forstassessorin die Forstschule.</w:t>
      </w:r>
    </w:p>
    <w:p>
      <w:r>
        <w:rPr>
          <w:color w:val="555555"/>
          <w:sz w:val="17"/>
        </w:rPr>
        <w:t xml:space="preserve">Zitiervorschlag: § 7 ZustVBLH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https://recht.nulegal.eu/gesetze/ZustVBLH/7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