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ZustVBLH (Bayern) — Zuständigkeiten für die Berufsbildung im Ausbildungsberuf Forstwirt/Forstwirtin</w:t>
      </w:r>
    </w:p>
    <w:p>
      <w:r>
        <w:rPr>
          <w:color w:val="555555"/>
          <w:sz w:val="18"/>
        </w:rPr>
        <w:t xml:space="preserve">Zuständigkeitsverordnung-BerufsbildungLw/Hw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Berufsbildung im Ausbildungsberuf Forstwirt/Forstwirtin sind zuständig</w:t>
      </w:r>
    </w:p>
    <w:p>
      <w:r>
        <w:t xml:space="preserve">1. für die Angelegenheiten nach § 1 Satz 1 Nr. 1 bis 9 und 11:</w:t>
      </w:r>
    </w:p>
    <w:p>
      <w:r>
        <w:t xml:space="preserve">die Bayerische Waldbauernschule,</w:t>
      </w:r>
    </w:p>
    <w:p>
      <w:r>
        <w:t xml:space="preserve">2. für die Angelegenheiten nach § 1 Satz 1 Nr. 10: die Technikerschule für Waldwirtschaft.</w:t>
      </w:r>
    </w:p>
    <w:p>
      <w:r>
        <w:rPr>
          <w:color w:val="555555"/>
          <w:sz w:val="17"/>
        </w:rPr>
        <w:t xml:space="preserve">Zitiervorschlag: § 5 ZustVBLH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https://recht.nulegal.eu/gesetze/ZustVBLH/5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