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ZustVAuslR (Bayern) — Oberste Landesbehörde</w:t>
      </w:r>
    </w:p>
    <w:p>
      <w:r>
        <w:rPr>
          <w:color w:val="555555"/>
          <w:sz w:val="18"/>
        </w:rPr>
        <w:t xml:space="preserve">Zuständigkeitsverordnung Ausländerrecht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Erlässt die oberste Landesbehörde eine Abschiebungsanordnung nach § 58a AufenthG, kann sie auch alle damit zusammenhängenden weiteren ausländerrechtlichen Entscheidungen treffen.</w:t>
      </w:r>
    </w:p>
    <w:p>
      <w:r>
        <w:rPr>
          <w:color w:val="555555"/>
          <w:sz w:val="17"/>
        </w:rPr>
        <w:t xml:space="preserve">Zitiervorschlag: § 6 ZustVAuslR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https://recht.nulegal.eu/gesetze/ZustVAuslR/6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