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ZustVAuslR (Bayern) — Ausländerbehörden</w:t>
      </w:r>
    </w:p>
    <w:p>
      <w:r>
        <w:rPr>
          <w:color w:val="555555"/>
          <w:sz w:val="18"/>
        </w:rPr>
        <w:t xml:space="preserve">Zuständigkeitsverordnung Ausländerrecht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Ausländerbehörden sind</w:t>
      </w:r>
    </w:p>
    <w:p>
      <w:r>
        <w:t xml:space="preserve">1. die Kreisverwaltungsbehörden als untere Ausländerbehörden,</w:t>
      </w:r>
    </w:p>
    <w:p>
      <w:r>
        <w:t xml:space="preserve">2. die Regierungen als</w:t>
      </w:r>
    </w:p>
    <w:p>
      <w:r>
        <w:t xml:space="preserve">a) Höhere Ausländerbehörden und</w:t>
      </w:r>
    </w:p>
    <w:p>
      <w:r>
        <w:t xml:space="preserve">b) Zentrale Ausländerbehörden,</w:t>
      </w:r>
    </w:p>
    <w:p>
      <w:r>
        <w:t xml:space="preserve">3. die Regierung von Mittelfranken als Zentrale Stelle für die Einwanderung von Fachkräften,</w:t>
      </w:r>
    </w:p>
    <w:p>
      <w:r>
        <w:t xml:space="preserve">4. das Landesamt für Asyl und Rückführungen (Landesamt) und</w:t>
      </w:r>
    </w:p>
    <w:p>
      <w:r>
        <w:t xml:space="preserve">5. das Staatsministerium des Innern, für Sport und Integration als oberste Ausländerbehörde (oberste Landesbehörde).</w:t>
      </w:r>
    </w:p>
    <w:p>
      <w:r>
        <w:rPr>
          <w:color w:val="555555"/>
          <w:sz w:val="17"/>
        </w:rPr>
        <w:t xml:space="preserve">Zitiervorschlag: § 1 ZustVAuslR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https://recht.nulegal.eu/gesetze/ZustVAuslR/1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