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ZustVAMÜB (Bayern) — Vollzug transfusionsrechtlicher Vorschriften</w:t>
      </w:r>
    </w:p>
    <w:p>
      <w:r>
        <w:rPr>
          <w:color w:val="555555"/>
          <w:sz w:val="18"/>
        </w:rPr>
        <w:t xml:space="preserve">Arzneimittelüberwachungszuständigkeitsverordnung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Regierungen von Oberbayern und Oberfranken sind zuständig für den Vollzug des Zweiten und Vierten Abschnitts des Transfusionsgesetzes (TFG) und der darauf gestützten Rechtsverordnungen, soweit sich nicht aus Abs. 2 oder § 2 Abs. 2 Satz 1 in Verbindung mit § 64 Abs. 1 und 3 Satz 1 AMG etwas anderes ergibt.</w:t>
      </w:r>
    </w:p>
    <w:p>
      <w:r>
        <w:t xml:space="preserve">(2) Die Kreisverwaltungsbehörden fördern die Aufklärung der Bevölkerung über die Blut- und Plasmaspende (§ 3 Abs. 4 TFG) als Gesundheitsämter gemäß Art. 1 Abs. 1 Nr. 3 GDG.</w:t>
      </w:r>
    </w:p>
    <w:p>
      <w:r>
        <w:rPr>
          <w:color w:val="555555"/>
          <w:sz w:val="17"/>
        </w:rPr>
        <w:t xml:space="preserve">Zitiervorschlag: § 5 ZustVAMÜB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https://recht.nulegal.eu/gesetze/ZustVAM%C3%9CB/5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