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ZustVAMÜB (Bayern) — Vollzug betäubungsmittelrechtlicher Vorschriften</w:t>
      </w:r>
    </w:p>
    <w:p>
      <w:r>
        <w:rPr>
          <w:color w:val="555555"/>
          <w:sz w:val="18"/>
        </w:rPr>
        <w:t xml:space="preserve">Arzneimittelüberwachungszuständigkeitsverordnung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Kreisverwaltungsbehörden sind die zuständigen Behörden für die Überwachung des medizinischen Betäubungsmittelverkehrs bei Ärzten, Zahnärzten, Apotheken, Krankenhäusern, Alten- und Pflegeheimen, Hospizen, Einrichtungen der spezialisierten ambulanten Palliativversorgung, Einrichtungen der Rettungsdienste sowie Einrichtungen, in denen eine Behandlung mit dem Substitutionsmittel Diamorphin stattfindet, soweit sich nicht aus Abs. 2 und 3 etwas anderes ergibt. Kreisfreie Gemeinden, die die Aufgaben der Gesundheitsämter nicht wahrnehmen, beteiligen in diesen Fällen das örtlich zuständige Gesundheitsamt.</w:t>
      </w:r>
    </w:p>
    <w:p>
      <w:r>
        <w:t xml:space="preserve">(2) Die Regierungen von Oberbayern und Oberfranken sind zuständig für die Anerkennung von geeigneten Einrichtungen im Sinn von § 5 Abs. 10 Satz 1 Nr. 3 Buchst. e der Betäubungsmittel-Verschreibungsverordnung (BtMVV) und die Erlaubniserteilung nach § 5a Abs. 2 BtMVV sowie für die Überwachung des Betäubungsmittelverkehrs bei pharmazeutischen Unternehmern im Fall der Abgabe von Diamorphin.</w:t>
      </w:r>
    </w:p>
    <w:p>
      <w:r>
        <w:t xml:space="preserve">(3) Die Regierung von Niederbayern ist zuständig für die staatliche Anerkennung von Einrichtungen nach § 35 Abs. 1 und § 36 Abs. 1 Satz 1 des Betäubungsmittelgesetzes.</w:t>
      </w:r>
    </w:p>
    <w:p>
      <w:r>
        <w:rPr>
          <w:color w:val="555555"/>
          <w:sz w:val="17"/>
        </w:rPr>
        <w:t xml:space="preserve">Zitiervorschlag: § 4 ZustVAMÜB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https://recht.nulegal.eu/gesetze/ZustVAM%C3%9CB/4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