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ZustVAMÜB (Bayern) — Vollzug arzneimittelrechtlicher und tierarzneimittelrechtlicher Vorschriften</w:t>
      </w:r>
    </w:p>
    <w:p>
      <w:r>
        <w:rPr>
          <w:color w:val="555555"/>
          <w:sz w:val="18"/>
        </w:rPr>
        <w:t xml:space="preserve">Arzneimittelüberwachungszuständigkeitsverordnung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sich nicht aus Abs. 2 bis 5 etwas anderes ergibt, sind die Regierungen von Oberbayern und Oberfranken zuständig für den Vollzug</w:t>
      </w:r>
    </w:p>
    <w:p>
      <w:r>
        <w:t xml:space="preserve">1. des Arzneimittelgesetzes (AMG) und der darauf gestützten Rechtsverordnungen,</w:t>
      </w:r>
    </w:p>
    <w:p>
      <w:r>
        <w:t xml:space="preserve">2. der Verordnung (EU) 2019/6 über Tierarzneimittel und des Tierarzneimittelgesetzes (TAMG) und der darauf gestützten Rechtsverordnungen in Bezug auf die Überwachung des Großhandels, pharmazeutischer Unternehmen und öffentlicher Apotheken.</w:t>
      </w:r>
    </w:p>
    <w:p>
      <w:r>
        <w:t xml:space="preserve">§ 5 Abs. 3 GesVSV bleibt unberührt.</w:t>
      </w:r>
    </w:p>
    <w:p>
      <w:r>
        <w:t xml:space="preserve">(2) Die Kreisverwaltungsbehörden sind zuständig für die arzneimittelrechtliche sowie die tierarzneimittelrechtliche Überwachung und die Entgegennahme der Anzeigen nach § 67 Abs. 5 AMG oder § 79 Abs. 7 TAMG</w:t>
      </w:r>
    </w:p>
    <w:p>
      <w:r>
        <w:t xml:space="preserve">1. bei öffentlichen Apotheken, soweit deren Betrieb nicht der Herstellungserlaubnispflicht nach § 13 AMG, Art. 88 Abs. 1 der Verordnung (EU) 2019/6 oder § 28 TAMG unterliegt,</w:t>
      </w:r>
    </w:p>
    <w:p>
      <w:r>
        <w:t xml:space="preserve">2. bei öffentlichen Apotheken, soweit deren Betrieb nicht der Großhandelserlaubnispflicht nach § 52a AMG, Art. 99 Abs. 1 der Verordnung (EU) 2019/6 oder § 29 TAMG unterliegt,</w:t>
      </w:r>
    </w:p>
    <w:p>
      <w:r>
        <w:t xml:space="preserve">3. beim Einzelhandel mit Arzneimitteln außerhalb von Apotheken im Rahmen des § 50 Abs. 1 AMG und des Reisegewerbes im Rahmen des § 51 Abs. 1 Halbsatz 2 und Abs. 2 AMG.</w:t>
      </w:r>
    </w:p>
    <w:p>
      <w:r>
        <w:t xml:space="preserve">In den Fällen des Satzes 1 Nr. 1 und 2 bedienen sich die Kreisverwaltungsbehörden der Pharmazieräte nach Art. 2 Abs. 3 des Gesundheitsdienstgesetzes (GDG).</w:t>
      </w:r>
    </w:p>
    <w:p>
      <w:r>
        <w:t xml:space="preserve">(3) Die Gemeinden sind zuständig für die Entgegennahme der Anzeigen nach § 67 Abs. 1 AMG, soweit beabsichtigt ist, Arzneimittel im Einzelhandel außerhalb von Apotheken im Rahmen des § 50 Abs. 1 AMG oder im Reisegewerbe im Rahmen des § 51 Abs. 1 Halbsatz 2 und Abs. 2 AMG abzugeben. Die Gemeinden leiten die entgegengenommenen Anzeigen an die nach Abs. 2 Satz 1 Nr. 3 zuständigen Arzneimittelüberwachungsbehörden weiter.</w:t>
      </w:r>
    </w:p>
    <w:p>
      <w:r>
        <w:t xml:space="preserve">(4) Die Industrie- und Handelskammern sind zuständig für die Durchführung und Abnahme der Prüfung im Sinn des § 50 Abs. 2 Satz 4 AMG in Verbindung mit der Verordnung über den Nachweis der Sachkenntnis im Einzelhandel mit freiverkäuflichen Arzneimitteln.</w:t>
      </w:r>
    </w:p>
    <w:p>
      <w:r>
        <w:t xml:space="preserve">(5) Das Staatsministerium für Gesundheit, Pflege und Prävention ist in Fällen von regional übergeordneter Bedeutung neben den Regierungen von Oberbayern und Oberfranken für öffentliche Warnungen nach dem Arzneimittelgesetz zuständig. Es kann im Einzelfall das Landesamt für Gesundheit und Lebensmittelsicherheit zur Durchführung der öffentlichen Warnung bestimmen.</w:t>
      </w:r>
    </w:p>
    <w:p>
      <w:r>
        <w:rPr>
          <w:color w:val="555555"/>
          <w:sz w:val="17"/>
        </w:rPr>
        <w:t xml:space="preserve">Zitiervorschlag: § 2 ZustVAMÜB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https://recht.nulegal.eu/gesetze/ZustVAM%C3%9CB/2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