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ZustV-WKM (Bayern) — Inkrafttreten</w:t>
      </w:r>
    </w:p>
    <w:p>
      <w:r>
        <w:rPr>
          <w:color w:val="555555"/>
          <w:sz w:val="18"/>
        </w:rPr>
        <w:t xml:space="preserve">StMWK-Zuständigkeitsverordnung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 Verordnung tritt mit Wirkung vom 1. Januar 2011 in Kraft.</w:t>
      </w:r>
    </w:p>
    <w:p>
      <w:r>
        <w:rPr>
          <w:color w:val="555555"/>
          <w:sz w:val="17"/>
        </w:rPr>
        <w:t xml:space="preserve">Zitiervorschlag: § 9 ZustV-WKM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https://recht.nulegal.eu/gesetze/ZustV-WKM/9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