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ZustV-WKM (Bayern) — Gewährung der Jubiläumszuwendung</w:t>
      </w:r>
    </w:p>
    <w:p>
      <w:r>
        <w:rPr>
          <w:color w:val="555555"/>
          <w:sz w:val="18"/>
        </w:rPr>
        <w:t xml:space="preserve">StMWK-Zuständigkeitsverordnung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 über die Gewährung der Jubiläumszuwendung wird den in § 1 genannten Behörden für die Beamten und Beamtinnen in ihrem Dienstbereich und im Dienstbereich etwaiger nachgeordneter Behörden, mit Ausnahme der Leiter und Leiterinnen der in § 1 genannten Behörden, übertragen.</w:t>
      </w:r>
    </w:p>
    <w:p>
      <w:r>
        <w:rPr>
          <w:color w:val="555555"/>
          <w:sz w:val="17"/>
        </w:rPr>
        <w:t xml:space="preserve">Zitiervorschlag: § 7 ZustV-WKM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https://recht.nulegal.eu/gesetze/ZustV-WKM/7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