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ZustV-UM (Bayern) — Laufbahnrechtliche Zuständigkeiten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Satz 1 genannten Behörden werden im Rahmen ihrer Ernennungsbefugnis folgende Zuständigkeiten nach dem Leistungslaufbahngesetz (LlbG) übertragen, soweit keine Antragstellung beim Landespersonalausschuss erforderlich ist:</w:t>
      </w:r>
    </w:p>
    <w:p>
      <w:r>
        <w:t xml:space="preserve">1. Zustimmung zum Wechsel innerhalb derselben Fachlaufbahn nach Art. 9 Abs. 1 Satz 2 und 3 LlbG oder Anerkennung der Qualifikation für die neue Fachlaufbahn nach Art. 9 Abs. 3 Satz 2 LlbG,</w:t>
      </w:r>
    </w:p>
    <w:p>
      <w:r>
        <w:t xml:space="preserve">2. Absehen von der Probezeit und Anordnung einer Bewährungszeit bei der Übernahme von Beamten und Beamtinnen anderer Dienstherren nach Art. 10 Abs. 1 Satz 1, 3 und 4 LlbG sowie bei der Wiedereinstellung früherer Beamter und Beamtinnen nach Art. 10 Abs. 3 LlbG,</w:t>
      </w:r>
    </w:p>
    <w:p>
      <w:r>
        <w:t xml:space="preserve">3. Anerkennung einer auf Grund der Laufbahnvorschriften des Bundes oder eines anderen Landes erworbenen Qualifikation und Anordnung zusätzlicher Unterweisungs- oder Fortbildungsmaßnahmen nach Art. 11 Abs. 2 Satz 1 Halbsatz 1 und Satz 2 LlbG,</w:t>
      </w:r>
    </w:p>
    <w:p>
      <w:r>
        <w:t xml:space="preserve">4. Anrechnung von Zeiten, die nach Art. 15 Abs. 4 Satz 1 Nr. 2 bis 5 LlbG als Dienstzeit gelten, auf die Probezeit nach Art. 12 Abs. 3 Satz 7 LlbG,</w:t>
      </w:r>
    </w:p>
    <w:p>
      <w:r>
        <w:t xml:space="preserve">5. Verlängerung der Probezeit bis zu einer Gesamtdauer von fünf Jahren nach Art. 12 Abs. 4 Satz 2 LlbG,</w:t>
      </w:r>
    </w:p>
    <w:p>
      <w:r>
        <w:t xml:space="preserve">6. Verkürzung der Probezeit nach Art. 13 Abs. 1 Satz 5 LlbG und Entscheidung über das Ergebnis der Probezeit nach Art. 13 Abs. 2 LlbG,</w:t>
      </w:r>
    </w:p>
    <w:p>
      <w:r>
        <w:t xml:space="preserve">7. Vorverlegung des allgemeinen Dienstzeitbeginns nach Art. 15 Abs. 3 Satz 3 LlbG um bis zu drei Jahre,</w:t>
      </w:r>
    </w:p>
    <w:p>
      <w:r>
        <w:t xml:space="preserve">8. Berücksichtigung weiterer Zeiten einer Beurlaubung als Dienstzeit nach Art. 15 Abs. 4 Satz 3 LlbG,</w:t>
      </w:r>
    </w:p>
    <w:p>
      <w:r>
        <w:t xml:space="preserve">9. Kürzung des Vorbereitungsdienstes nach Art. 27 Abs. 2 LlbG und Anrechnung von Zeiten auf den Vorbereitungsdienst nach Art. 27 Abs. 3 Satz 1 LlbG in Verbindung mit § 12 Abs. 3 der Fachverordnung bautechnischer und umweltfachlicher Verwaltungsdienst oder § 42 Abs. 3 Satz 1 der Fachverordnung nichttechnischer Verwaltungsdienst sowie nach Art. 35 Abs. 1 Satz 2 LlbG,</w:t>
      </w:r>
    </w:p>
    <w:p>
      <w:r>
        <w:t xml:space="preserve">10. Kürzung der Probezeit nach Art. 36 Abs. 1 Satz 1 LlbG,</w:t>
      </w:r>
    </w:p>
    <w:p>
      <w:r>
        <w:t xml:space="preserve">11. Anrechnung von Zeiten einer Tätigkeit im öffentlichen Dienst oder außerhalb des öffentlichen Dienstes auf die Probezeit nach Art. 36 Abs. 2 Satz 1 und Abs. 3 Satz 1 LlbG,</w:t>
      </w:r>
    </w:p>
    <w:p>
      <w:r>
        <w:t xml:space="preserve">12. Zulassung zur Ausbildungsqualifizierung nach Art. 37 Abs. 2 Satz 1 LlbG, Entscheidungen nach Art. 37 Abs. 2 Satz 2 Halbsatz 1 LlbG und Kürzung der Ausbildungsqualifizierung nach Art. 37 Abs. 4 LlbG,</w:t>
      </w:r>
    </w:p>
    <w:p>
      <w:r>
        <w:t xml:space="preserve">13. Feststellung des sonstigen Qualifikationserwerbs für eine Fachlaufbahn nach Art. 40 LlbG, soweit nicht nach § 16 Abs. 1 der Verordnung über den fachlichen Schwerpunkt Veterinärdienst oder § 20 der Verordnung über den fachlichen Schwerpunkt Gewerbeaufsicht das Staatsministerium zuständig ist.</w:t>
      </w:r>
    </w:p>
    <w:p>
      <w:r>
        <w:rPr>
          <w:color w:val="555555"/>
          <w:sz w:val="17"/>
        </w:rPr>
        <w:t xml:space="preserve">Zitiervorschlag: § 4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