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ZustV-UM (Bayern) — Abordnung, Versetzung und Zuweisung</w:t>
      </w:r>
    </w:p>
    <w:p>
      <w:r>
        <w:rPr>
          <w:color w:val="555555"/>
          <w:sz w:val="18"/>
        </w:rPr>
        <w:t xml:space="preserve">StMUV-Zuständigkeitsverordnung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Ergänzend zu den Befugnissen nach Art. 49 Abs. 2 des Bayerischen Beamtengesetzes (BayBG) in Verbindung mit § 1 Satz 1 wird die Befugnis zur Abordnung, Versetzung und Zuweisung für die Beamten und Beamtinnen des jeweiligen Dienstbereichs übertragen:</w:t>
      </w:r>
    </w:p>
    <w:p>
      <w:r>
        <w:t xml:space="preserve">1. den in § 1 genannten Behörden auch für diejenigen Beamten und Beamtinnen ihres Dienstbereichs, für die sie nicht Ernennungsbehörde sind,</w:t>
      </w:r>
    </w:p>
    <w:p>
      <w:r>
        <w:t xml:space="preserve">2. der Akademie für Naturschutz und Landschaftspflege,</w:t>
      </w:r>
    </w:p>
    <w:p>
      <w:r>
        <w:t xml:space="preserve">3. der Nationalparkverwaltung Bayerischer Wald,</w:t>
      </w:r>
    </w:p>
    <w:p>
      <w:r>
        <w:t xml:space="preserve">4. der Nationalparkverwaltung Berchtesgaden.</w:t>
      </w:r>
    </w:p>
    <w:p>
      <w:r>
        <w:t xml:space="preserve">Für die Abordnung, Versetzung und Zuweisung der Leiter und Leiterinnen der dem Staatsministerium unmittelbar nachgeordneten Behörden bleibt das Staatsministerium zuständig.</w:t>
      </w:r>
    </w:p>
    <w:p>
      <w:r>
        <w:rPr>
          <w:color w:val="555555"/>
          <w:sz w:val="17"/>
        </w:rPr>
        <w:t xml:space="preserve">Zitiervorschlag: § 2 ZustV-UM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https://recht.nulegal.eu/gesetze/ZustV-UM/2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