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ZustV-UM (Bayern) — Inkrafttreten, Außerkrafttreten</w:t>
      </w:r>
    </w:p>
    <w:p>
      <w:r>
        <w:rPr>
          <w:color w:val="555555"/>
          <w:sz w:val="18"/>
        </w:rPr>
        <w:t xml:space="preserve">StMUV-Zuständigkeitsverordnung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 Verordnung tritt am 1. Juni 2022 in Kraft.</w:t>
      </w:r>
    </w:p>
    <w:p>
      <w:r>
        <w:t xml:space="preserve">(2) Mit Ablauf des 31. Mai 2022 tritt die Verordnung zur Übertragung beamten-, besoldungs- und reisekostenrechtlicher Zuständigkeiten im Geschäftsbereich des Bayerischen Staatsministeriums für Umwelt und Verbraucherschutz (ZustV-UM) vom 12. August 2009 (GVBl. S. 480, BayRS 2030-3-9-1-U), die zuletzt durch § 1 Nr. 77 der Verordnung vom 22. Juli 2014 (GVBl. S. 286) geändert worden ist, außer Kraft.</w:t>
      </w:r>
    </w:p>
    <w:p>
      <w:r>
        <w:rPr>
          <w:color w:val="555555"/>
          <w:sz w:val="17"/>
        </w:rPr>
        <w:t xml:space="preserve">Zitiervorschlag: § 15 ZustV-UM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https://recht.nulegal.eu/gesetze/ZustV-UM/15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