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ZustV-UM (Bayern) — Trennungsgeldrechtliche Zuständigkeiten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Befugnisse der obersten Dienstbehörde nach der Bayerischen Trennungsgeldverodnung (BayTGV) werden den in § 2 Satz 1 genannten Behörden für die Beamten und Beamtinnen ihres Dienstbereichs übertragen:</w:t>
      </w:r>
    </w:p>
    <w:p>
      <w:r>
        <w:t xml:space="preserve">1. Erteilung von Zustimmungen nach § 2 Abs. 2 Satz 3 BayTGV,</w:t>
      </w:r>
    </w:p>
    <w:p>
      <w:r>
        <w:t xml:space="preserve">2. Bewilligung von Trennungsreisegeld über die Siebentagefrist hinaus nach § 3 Abs. 1 Satz 4 BayTGV,</w:t>
      </w:r>
    </w:p>
    <w:p>
      <w:r>
        <w:t xml:space="preserve">3. Bestimmung des ermäßigten Trennungsgeldes nach § 4 Abs. 8 BayTGV.</w:t>
      </w:r>
    </w:p>
    <w:p>
      <w:r>
        <w:rPr>
          <w:color w:val="555555"/>
          <w:sz w:val="17"/>
        </w:rPr>
        <w:t xml:space="preserve">Zitiervorschlag: § 14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