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ZustV-UM (Bayern) — Reisekostenrechtliche Zuständigkeiten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Folgende Befugnisse der obersten Dienstbehörde nach dem Bayerischen Reisekostengesetz (BayRKG) werden den in § 2 Satz 1 genannten Behörden für die Beamten und Beamtinnen ihres Dienstbereichs übertragen:</w:t>
      </w:r>
    </w:p>
    <w:p>
      <w:r>
        <w:t xml:space="preserve">1. Bewilligung des vollen Tage- und Übernachtungsgeldes über die 14-Tagesfrist hinaus nach Art. 10 Abs. 2 BayRKG,</w:t>
      </w:r>
    </w:p>
    <w:p>
      <w:r>
        <w:t xml:space="preserve">2. Zulassung niedrigerer Kürzungssätze nach Art. 11 Abs. 4 BayRKG,</w:t>
      </w:r>
    </w:p>
    <w:p>
      <w:r>
        <w:t xml:space="preserve">3. Bestimmung der Aufwandsvergütung nach Art. 18 Satz 1 BayRKG,</w:t>
      </w:r>
    </w:p>
    <w:p>
      <w:r>
        <w:t xml:space="preserve">4. Gewährung einer Pauschvergütung nach Art. 19 BayRKG,</w:t>
      </w:r>
    </w:p>
    <w:p>
      <w:r>
        <w:t xml:space="preserve">5. Gewährung von Auslagenerstattung wie bei Dienstreisen nach Art. 24 Abs. 2 BayRKG.</w:t>
      </w:r>
    </w:p>
    <w:p>
      <w:r>
        <w:t xml:space="preserve">Die Zuständigkeit der Beschäftigungsbehörde zur Genehmigung und Anordnung von Dienst- und Fortbildungsreisen wird übertragen:</w:t>
      </w:r>
    </w:p>
    <w:p>
      <w:r>
        <w:t xml:space="preserve">1. dem Staatsministerium für die Leiter und Leiterinnen der ihm unmittelbar nachgeordneten Behörden,</w:t>
      </w:r>
    </w:p>
    <w:p>
      <w:r>
        <w:t xml:space="preserve">2. den Regierungen für die Leiter und Leiterinnen der Wasserwirtschaftsämter,</w:t>
      </w:r>
    </w:p>
    <w:p>
      <w:r>
        <w:t xml:space="preserve">3. der für die Einstellung, Versetzung, Abordnung oder Aufhebung einer Abordnung zuständigen Behörde für die aus diesem Anlass durchzuführende Dienstreise.</w:t>
      </w:r>
    </w:p>
    <w:p>
      <w:r>
        <w:t xml:space="preserve">Die Genehmigung von Dienst- und Fortbildungsreisen im Inland gilt für die unter Satz 2 Nr. 1 und 2 genannten Behördenleitungen für die Dauer von jeweils bis zu fünf Tagen als allgemein erteilt.</w:t>
      </w:r>
    </w:p>
    <w:p>
      <w:r>
        <w:rPr>
          <w:color w:val="555555"/>
          <w:sz w:val="17"/>
        </w:rPr>
        <w:t xml:space="preserve">Zitiervorschlag: § 12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