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ZustV-UM (Bayern) — Anwärterbezüge</w:t>
      </w:r>
    </w:p>
    <w:p>
      <w:r>
        <w:rPr>
          <w:color w:val="555555"/>
          <w:sz w:val="18"/>
        </w:rPr>
        <w:t xml:space="preserve">StMUV-Zuständigkeitsverordnung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für Entscheidungen nach Art. 75 Abs. 2 BayBesG über die Erteilung von Auflagen, die Rückforderung von unter Auflagen gewährten Anwärterbezügen und die Befugnis zur Kürzung der Anwärterbezüge nach Art. 81 Abs. 1 BayBesG wird den in § 1 Satz 1 genannten Behörden für die Beamten und Beamtinnen ihres Dienstbereichs übertragen.</w:t>
      </w:r>
    </w:p>
    <w:p>
      <w:r>
        <w:rPr>
          <w:color w:val="555555"/>
          <w:sz w:val="17"/>
        </w:rPr>
        <w:t xml:space="preserve">Zitiervorschlag: § 11 ZustV-UM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https://recht.nulegal.eu/gesetze/ZustV-UM/11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