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ZustV-UM (Bayern) — Ernennung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Befugnis zur Ernennung der Beamten und Beamtinnen bis einschließlich Besoldungsgruppe A 15 im Geschäftsbereich des Staatsministeriums für Umwelt und Verbraucherschutz (Staatsministerium) wird für den jeweiligen Dienstbereich übertragen:</w:t>
      </w:r>
    </w:p>
    <w:p>
      <w:r>
        <w:t xml:space="preserve">1. den Regierungen zugleich für die ihnen nachgeordneten Behörden,</w:t>
      </w:r>
    </w:p>
    <w:p>
      <w:r>
        <w:t xml:space="preserve">2. dem Landesamt für Gesundheit und Lebensmittelsicherheit,</w:t>
      </w:r>
    </w:p>
    <w:p>
      <w:r>
        <w:t xml:space="preserve">3. dem Landesamt für Umwelt,</w:t>
      </w:r>
    </w:p>
    <w:p>
      <w:r>
        <w:t xml:space="preserve">4. der Kontrollbehörde für Lebensmittelsicherheit und Veterinärwesen.</w:t>
      </w:r>
    </w:p>
    <w:p>
      <w:r>
        <w:t xml:space="preserve">Für die Ernennung der Baureferendare und Baureferendarinnen bleibt das Staatsministerium zuständig.</w:t>
      </w:r>
    </w:p>
    <w:p>
      <w:r>
        <w:rPr>
          <w:color w:val="555555"/>
          <w:sz w:val="17"/>
        </w:rPr>
        <w:t xml:space="preserve">Zitiervorschlag: § 1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