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ZustV-LM (Bayern) — Zuständigkeiten nach der Arbeitszeitverordnung</w:t>
      </w:r>
    </w:p>
    <w:p>
      <w:r>
        <w:rPr>
          <w:color w:val="555555"/>
          <w:sz w:val="18"/>
        </w:rPr>
        <w:t xml:space="preserve">Verordnung über dienstrechtliche Zuständigkeiten im Geschäftsbereich des Bayerischen Staatsministeriums für Ernährung, Landwirtschaft, Forsten und Tourismus</w:t>
      </w:r>
    </w:p>
    <w:p>
      <w:r>
        <w:rPr>
          <w:color w:val="555555"/>
          <w:sz w:val="18"/>
        </w:rPr>
        <w:t xml:space="preserve">Landesrecht Bayern</w:t>
      </w:r>
    </w:p>
    <w:p>
      <w:r>
        <w:rPr>
          <w:color w:val="555555"/>
          <w:sz w:val="18"/>
        </w:rPr>
        <w:t xml:space="preserve">Stand: 25.08.2026 (konsolidierte Textfassung, kein amtliches Inkrafttretensdatum)</w:t>
      </w:r>
    </w:p>
    <w:p>
      <w:r>
        <w:t xml:space="preserve">Die nach § 6 Abs. 1 Satz 1 und § 7 Abs. 5 Satz 3 der Bayerischen Arbeitszeitverordnung (BayAzV) der obersten Dienstbehörde zustehenden Befugnisse werden den Ämtern für Ernährung, Landwirtschaft und Forsten und den unmittelbar nachgeordneten Behörden jeweils für ihre Beschäftigten, der Landesanstalt für Landwirtschaft auch für die Beamtinnen und Beamten des Technologie- und Förderzentrums im Kompetenzzentrum für Nachwachsende Rohstoffe, übertragen. Die nach § 2 Abs. 3 Satz 1 und § 4 Abs. 1 Satz 1 BayAzV der obersten Dienstbehörde zustehenden Befugnisse werden den Landesanstalten jeweils für ihre Beamtinnen und Beamten übertragen.</w:t>
      </w:r>
    </w:p>
    <w:p>
      <w:r>
        <w:rPr>
          <w:color w:val="555555"/>
          <w:sz w:val="17"/>
        </w:rPr>
        <w:t xml:space="preserve">Zitiervorschlag: § 5 ZustV-LM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https://recht.nulegal.eu/gesetze/ZustV-LM/5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