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ZustV-LM (Bayern) — Zuständigkeiten nach dem Leistungslaufbahngesetz</w:t>
      </w:r>
    </w:p>
    <w:p>
      <w:r>
        <w:rPr>
          <w:color w:val="555555"/>
          <w:sz w:val="18"/>
        </w:rPr>
        <w:t xml:space="preserve">Verordnung über dienstrechtliche Zuständigkeiten im Geschäftsbereich des Bayerischen Staatsministeriums für Ernährung, Landwirtschaft, Forsten und Tourismus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Ernennungsbehörden sind, soweit sie für die Ernennung zuständig sind, auch zuständig für Entscheidungen über die</w:t>
      </w:r>
    </w:p>
    <w:p>
      <w:r>
        <w:t xml:space="preserve">1. Anrechnung von Dienstzeiten auf die Probezeit (Art. 12 Abs. 3 Satz 3 des Leistungslaufbahngesetzes – LlbG),</w:t>
      </w:r>
    </w:p>
    <w:p>
      <w:r>
        <w:t xml:space="preserve">2. Kürzung der Probezeit (Art. 36 Abs. 1 LlbG),</w:t>
      </w:r>
    </w:p>
    <w:p>
      <w:r>
        <w:t xml:space="preserve">3. Verlängerung der Probezeit (Art. 12 Abs. 4 LlbG),</w:t>
      </w:r>
    </w:p>
    <w:p>
      <w:r>
        <w:t xml:space="preserve">4. Anrechnung von Zeiten einer Tätigkeit im öffentlichen Dienst auf die Probezeit (Art. 36 Abs. 2 LlbG), es sei denn, die Entscheidung bedarf der Zustimmung des Landespersonalausschusses.</w:t>
      </w:r>
    </w:p>
    <w:p>
      <w:r>
        <w:t xml:space="preserve">Die Landesanstalt für Landwirtschaft ist ferner im Rahmen ihrer Ernennungsbefugnis für die Entscheidung über das Ergebnis der Probezeit (Art. 13 Abs. 2 LlbG) zuständig.</w:t>
      </w:r>
    </w:p>
    <w:p>
      <w:r>
        <w:rPr>
          <w:color w:val="555555"/>
          <w:sz w:val="17"/>
        </w:rPr>
        <w:t xml:space="preserve">Zitiervorschlag: § 4 ZustV-LM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https://recht.nulegal.eu/gesetze/ZustV-LM/4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