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ZustV-LM (Bayern) — Abordnung</w:t>
      </w:r>
    </w:p>
    <w:p>
      <w:r>
        <w:rPr>
          <w:color w:val="555555"/>
          <w:sz w:val="18"/>
        </w:rPr>
        <w:t xml:space="preserve">Verordnung über dienstrechtliche Zuständigkeiten im Geschäftsbereich des Bayerischen Staatsministeriums für Ernährung, Landwirtschaft, Forsten und Tourismus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in § 1 Abs. 1 Nr. 1 genannten Ernennungsbehörde wird die Zuständigkeit zur Abordnung auch von Beamtinnen und Beamten der Besoldungsgruppe A 15 übertragen.</w:t>
      </w:r>
    </w:p>
    <w:p>
      <w:r>
        <w:rPr>
          <w:color w:val="555555"/>
          <w:sz w:val="17"/>
        </w:rPr>
        <w:t xml:space="preserve">Zitiervorschlag: § 2 ZustV-LM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https://recht.nulegal.eu/gesetze/ZustV-LM/2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