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ZustV-LM (Bayern) — Zuständigkeiten nach der Arbeitszeitverordnung</w:t>
      </w:r>
    </w:p>
    <w:p>
      <w:r>
        <w:rPr>
          <w:color w:val="555555"/>
          <w:sz w:val="18"/>
        </w:rPr>
        <w:t xml:space="preserve">Verordnung über dienstrechtliche Zuständigkeiten im Geschäftsbereich des Bayerischen Staatsministeriums für Ernährung, Landwirtschaft, Forsten und Tourismus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Befugnisse zur</w:t>
      </w:r>
    </w:p>
    <w:p>
      <w:r>
        <w:t xml:space="preserve">1. Verlängerung oder Verkürzung der Arbeitszeit (§ 2 Abs. 3 Satz 1 AzV),</w:t>
      </w:r>
    </w:p>
    <w:p>
      <w:r>
        <w:t xml:space="preserve">2. Verlängerung der Arbeitszeit bei Dienst in Bereitschaft (§ 4 Abs. 1 Satz 1 Halbsatz 1 AzV),</w:t>
      </w:r>
    </w:p>
    <w:p>
      <w:r>
        <w:t xml:space="preserve">3. Anordnung von Dienst an Sonn- und Feiertagen oder zu dienstfreien Zeiten (§ 6 Abs. 1 Satz 1 AzV) und</w:t>
      </w:r>
    </w:p>
    <w:p>
      <w:r>
        <w:t xml:space="preserve">4. Festsetzung der Obergrenze für die Übertragung von Arbeitszeitguthaben über den Abrechnungszeitraum hinaus (§ 7 Abs. 5 Satz 3 AzV)</w:t>
      </w:r>
    </w:p>
    <w:p>
      <w:r>
        <w:t xml:space="preserve">werden den nachgeordneten Behörden jeweils für ihre Beamtinnen und Beamten übertragen.</w:t>
      </w:r>
    </w:p>
    <w:p>
      <w:r>
        <w:rPr>
          <w:color w:val="555555"/>
          <w:sz w:val="17"/>
        </w:rPr>
        <w:t xml:space="preserve">Zitiervorschlag: § 15 ZustV-LM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https://recht.nulegal.eu/gesetze/ZustV-LM/15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