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ZustV-LM (Bayern) — Sonstige Zuständigkeiten nach dem Bayerischen Beamtengesetz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 zur Entscheidung über</w:t>
      </w:r>
    </w:p>
    <w:p>
      <w:r>
        <w:t xml:space="preserve">1. das Verbot der Führung der Dienstgeschäfte (Art. 6 Abs. 4 BayBG),</w:t>
      </w:r>
    </w:p>
    <w:p>
      <w:r>
        <w:t xml:space="preserve">2. Nebentätigkeiten (Art. 81 Abs. 1 bis 5 BayBG),</w:t>
      </w:r>
    </w:p>
    <w:p>
      <w:r>
        <w:t xml:space="preserve">3. die Beschäftigung oder Erwerbstätigkeit von Ruhestandsbeamten und früheren Beamten mit Versorgungsbezügen (Art. 86 Abs. 2 BayBG),</w:t>
      </w:r>
    </w:p>
    <w:p>
      <w:r>
        <w:t xml:space="preserve">4. die Zustimmung zur Annahme von Belohnungen oder Geschenken (Art. 6 Abs. 5 BayBG),</w:t>
      </w:r>
    </w:p>
    <w:p>
      <w:r>
        <w:t xml:space="preserve">5. die Bewilligung von Teilzeitbeschäftigung und Urlaub ohne Dienstbezüge (Art. 88 bis 91 BayBG)</w:t>
      </w:r>
    </w:p>
    <w:p>
      <w:r>
        <w:t xml:space="preserve">wird den in § 12 Abs. 1 genannten Behörden und der Staatlichen Führungsakademie für Ernährung, Landwirtschaft und Forsten für ihre Beamtinnen und Beamten der Forstverwaltung übertragen. § 12 Abs. 2 gilt entsprechend. Die Zuständigkeiten nach Art. 86 Abs. 1 und Art. 6 Abs. 5 BayBG für ehemalige Beamtinnen und Beamte richten sich nach deren letzter Beschäftigungsstelle. Für abgeordnete Beamtinnen und Beamte richtet sich die Zuständigkeit nach den Regelungen, die für die Stammbehörde gelten.</w:t>
      </w:r>
    </w:p>
    <w:p>
      <w:r>
        <w:rPr>
          <w:color w:val="555555"/>
          <w:sz w:val="17"/>
        </w:rPr>
        <w:t xml:space="preserve">Zitiervorschlag: § 13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