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ZustV-LM (Bayern) — Abordnung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 zur Abordnung von Beamtinnen und Beamten wird übertragen</w:t>
      </w:r>
    </w:p>
    <w:p>
      <w:r>
        <w:t xml:space="preserve">1. bis zur Dauer von drei Monaten den Ämtern für Ernährung, Landwirtschaft und Forsten, dem Amt für Waldgenetik, der Waldbauernschule, der Forstschule und der Technikerschule für Waldwirtschaft,</w:t>
      </w:r>
    </w:p>
    <w:p>
      <w:r>
        <w:t xml:space="preserve">2. bis zur Dauer von einem Jahr der Landesanstalt für Wald und Forstwirtschaft.</w:t>
      </w:r>
    </w:p>
    <w:p>
      <w:r>
        <w:t xml:space="preserve">(2) Für die Leiterinnen und Leiter der in Abs. 1 genannten Behörden ist das Staatsministerium zuständig.</w:t>
      </w:r>
    </w:p>
    <w:p>
      <w:r>
        <w:rPr>
          <w:color w:val="555555"/>
          <w:sz w:val="17"/>
        </w:rPr>
        <w:t xml:space="preserve">Zitiervorschlag: § 12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