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ZustV-LM (Bayern) — Genehmigung und Anordnung von Dienst- und Fortbildungsreisen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der Beschäftigungsbehörden, Dienst- und Fortbildungsreisen zu genehmigen oder anzuordnen, wird übertragen:</w:t>
      </w:r>
    </w:p>
    <w:p>
      <w:r>
        <w:t xml:space="preserve">1. dem Staatsministerium</w:t>
      </w:r>
    </w:p>
    <w:p>
      <w:r>
        <w:t xml:space="preserve">a) für mehr als einwöchige Dienst- und Fortbildungsreisen der Leiterinnen und Leiter der unmittelbar nachgeordneten Behörden sowie</w:t>
      </w:r>
    </w:p>
    <w:p>
      <w:r>
        <w:t xml:space="preserve">b) für Dienst- und Fortbildungsreisen der Beschäftigten der nachgeordneten Behörden außerhalb der Europäischen Union und der Schweiz,</w:t>
      </w:r>
    </w:p>
    <w:p>
      <w:r>
        <w:t xml:space="preserve">2. der Staatlichen Führungsakademie für Ernährung, Landwirtschaft und Forsten</w:t>
      </w:r>
    </w:p>
    <w:p>
      <w:r>
        <w:t xml:space="preserve">a) für mehr als einwöchige Dienst- und Fortbildungsreisen der Leiterinnen und Leiter der Ämter für Ernährung, Landwirtschaft und Forsten sowie</w:t>
      </w:r>
    </w:p>
    <w:p>
      <w:r>
        <w:t xml:space="preserve">b) für Dienst- und Fortbildungsreisen der Beschäftigten des Geschäftsbereichs des Staatsministeriums als Mitwirkende oder Teilnehmer an Fortbildungsveranstaltungen im Rahmen des Jahresfortbildungsprogramms der Staatlichen Führungsakademie für Ernährung, Landwirtschaft und Forsten; soweit die Forstschule Beschäftigte der Landwirtschaftsverwaltung und der Verwaltung für Ländliche Entwicklung als Teilnehmer zu Fortbildungsveranstaltungen einlädt, wird ihr die Zuständigkeit für die Genehmigung von Fortbildungsreisen übertragen.</w:t>
      </w:r>
    </w:p>
    <w:p>
      <w:r>
        <w:rPr>
          <w:color w:val="555555"/>
          <w:sz w:val="17"/>
        </w:rPr>
        <w:t xml:space="preserve">Zitiervorschlag: § 11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