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ZustV-LM (Bayern) — Ernennung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Ernennungsbehörden im Geschäftsbereich des Bayerischen Staatsministeriums für Ernährung, Landwirtschaft, Forsten und Tourismus (Staatsministerium) sind</w:t>
      </w:r>
    </w:p>
    <w:p>
      <w:r>
        <w:t xml:space="preserve">1. die Staatliche Führungsakademie für Ernährung, Landwirtschaft und Forsten für</w:t>
      </w:r>
    </w:p>
    <w:p>
      <w:r>
        <w:t xml:space="preserve">a) ihre Beamtinnen und Beamten,</w:t>
      </w:r>
    </w:p>
    <w:p>
      <w:r>
        <w:t xml:space="preserve">b) die Beamtinnen und Beamten der Ämter für Ernährung, Landwirtschaft und Forsten,</w:t>
      </w:r>
    </w:p>
    <w:p>
      <w:r>
        <w:t xml:space="preserve">c) die Beamtinnen und Beamten der agrarwirtschaftlichen Fachschulen, sofern diese nicht einer Landesanstalt angegliedert sind und</w:t>
      </w:r>
    </w:p>
    <w:p>
      <w:r>
        <w:t xml:space="preserve">d) die Beamtinnen und Beamten der Fachakademie für Landwirtschaft Triesdorf,</w:t>
      </w:r>
    </w:p>
    <w:p>
      <w:r>
        <w:t xml:space="preserve">2. die Ämter für Ländliche Entwicklung für ihre Beamtinnen und Beamten,</w:t>
      </w:r>
    </w:p>
    <w:p>
      <w:r>
        <w:t xml:space="preserve">3. die Landesanstalt für Weinbau und Gartenbau für</w:t>
      </w:r>
    </w:p>
    <w:p>
      <w:r>
        <w:t xml:space="preserve">a) ihre Beamtinnen und Beamten und</w:t>
      </w:r>
    </w:p>
    <w:p>
      <w:r>
        <w:t xml:space="preserve">b) die Beamtinnen und Beamten der ihr angegliederten agrarwirtschaftlichen Fachschulen,</w:t>
      </w:r>
    </w:p>
    <w:p>
      <w:r>
        <w:t xml:space="preserve">4. die Landesanstalt für Landwirtschaft für</w:t>
      </w:r>
    </w:p>
    <w:p>
      <w:r>
        <w:t xml:space="preserve">a) ihre Beamtinnen und Beamten und</w:t>
      </w:r>
    </w:p>
    <w:p>
      <w:r>
        <w:t xml:space="preserve">b) die Beamtinnen und Beamten des Technologie- und Förderzentrums im Kompetenzzentrum für Nachwachsende Rohstoffe,</w:t>
      </w:r>
    </w:p>
    <w:p>
      <w:r>
        <w:t xml:space="preserve">5. die Regierungen für ihre Beamtinnen und Beamten sowie</w:t>
      </w:r>
    </w:p>
    <w:p>
      <w:r>
        <w:t xml:space="preserve">6. die Bayerischen Staatsgüter für ihre Beamtinnen und Beamten.</w:t>
      </w:r>
    </w:p>
    <w:p>
      <w:r>
        <w:t xml:space="preserve">(2) Den Ernennungsbehörden wird die Zuständigkeit übertragen, Beamtinnen und Beamte auf Lebenszeit bis zur Besoldungsgruppe A 14 zu ernennen.</w:t>
      </w:r>
    </w:p>
    <w:p>
      <w:r>
        <w:t xml:space="preserve">(3) Darüber hinaus wird</w:t>
      </w:r>
    </w:p>
    <w:p>
      <w:r>
        <w:t xml:space="preserve">1. den in Abs. 1 Nr. 1 bis 5 genannten Behörden die Befugnis übertragen, in das Beamtenverhältnis auf Probe im Sinne des § 4 Abs. 3 Buchst. a des Beamtenstatusgesetzes zu berufen,</w:t>
      </w:r>
    </w:p>
    <w:p>
      <w:r>
        <w:t xml:space="preserve">2. den in Abs. 1 Nr. 2 genannten Behörden die Befugnis übertragen, in das Beamtenverhältnis auf Widerruf zu berufen,</w:t>
      </w:r>
    </w:p>
    <w:p>
      <w:r>
        <w:t xml:space="preserve">3. den in Abs. 1 Nr. 4 und 5 genannten Behörden die Befugnis übertragen, Beamtinnen und Beamte auf Lebenszeit bis zur Besoldungsgruppe A 15 zu ernennen, mit Ausnahme der Leiterin oder des Leiters des Technologie- und Förderzentrums im Kompetenzzentrum für Nachwachsende Rohstoffe.</w:t>
      </w:r>
    </w:p>
    <w:p>
      <w:r>
        <w:rPr>
          <w:color w:val="555555"/>
          <w:sz w:val="17"/>
        </w:rPr>
        <w:t xml:space="preserve">Zitiervorschlag: § 1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