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ZustV-KM (Bayern) — Inkrafttreten</w:t>
      </w:r>
    </w:p>
    <w:p>
      <w:r>
        <w:rPr>
          <w:color w:val="555555"/>
          <w:sz w:val="18"/>
        </w:rPr>
        <w:t xml:space="preserve">StMUK-Zuständigkeitsverordnung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Oktober 2002 in Kraft.</w:t>
      </w:r>
    </w:p>
    <w:p>
      <w:r>
        <w:t xml:space="preserve">(2) Abweichend von Abs. 1 tritt § 8 mit Wirkung vom 1. April 2001 in Kraft.</w:t>
      </w:r>
    </w:p>
    <w:p>
      <w:r>
        <w:rPr>
          <w:color w:val="555555"/>
          <w:sz w:val="17"/>
        </w:rPr>
        <w:t xml:space="preserve">Zitiervorschlag: § 9 ZustV-KM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https://recht.nulegal.eu/gesetze/ZustV-KM/9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