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ZustV-JM (Bayern) — Gewährung oder Versagung einer Jubiläumszuwendung</w:t>
      </w:r>
    </w:p>
    <w:p>
      <w:r>
        <w:rPr>
          <w:color w:val="555555"/>
          <w:sz w:val="18"/>
        </w:rPr>
        <w:t xml:space="preserve">StMJ-Zuständigkeitsverordnung Dienstrecht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 über die Gewährung und Versagung einer Jubiläumszuwendung wird den nachstehend genannten Behörden übertragen:</w:t>
      </w:r>
    </w:p>
    <w:p>
      <w:r>
        <w:t xml:space="preserve">1. für die Beamten und Richter beim Bayerischen Obersten Landesgericht dem Präsidenten des Bayerischen Obersten Landesgerichts und</w:t>
      </w:r>
    </w:p>
    <w:p>
      <w:r>
        <w:t xml:space="preserve">2. jeweils für die Beamten und Richter ihres Geschäftsbereichs</w:t>
      </w:r>
    </w:p>
    <w:p>
      <w:r>
        <w:t xml:space="preserve">a) den Präsidenten der Oberlandesgerichte und</w:t>
      </w:r>
    </w:p>
    <w:p>
      <w:r>
        <w:t xml:space="preserve">b) den Generalstaatsanwälten.</w:t>
      </w:r>
    </w:p>
    <w:p>
      <w:r>
        <w:t xml:space="preserve">Die Entscheidung über die Gewährung und Versagung einer Jubiläumszuwendung anlässlich des 25jährigen Dienstjubiläums wird den Leitern der Justizvollzugsanstalten sowie dem Leiter der Bayerischen Justizvollzugsakademie übertragen</w:t>
      </w:r>
    </w:p>
    <w:p>
      <w:r>
        <w:t xml:space="preserve">1. für die Beamten ihres Geschäftsbereichs,</w:t>
      </w:r>
    </w:p>
    <w:p>
      <w:r>
        <w:t xml:space="preserve">2. die in der ersten oder zweiten Qualifikationsebene eingestiegen sind und</w:t>
      </w:r>
    </w:p>
    <w:p>
      <w:r>
        <w:t xml:space="preserve">3. sich nicht für Ämter ab der dritten Qualifikationsebene gemäß Art. 20 oder Art. 37 LlbG qualifiziert haben.</w:t>
      </w:r>
    </w:p>
    <w:p>
      <w:r>
        <w:t xml:space="preserve">Für die in Satz 1 genannten Präsidenten und Generalstaatsanwälte verbleibt es bei der Zuständigkeit nach § 5 Abs. 1 Satz 1 der Jubiläumszuwendungsverordnung.</w:t>
      </w:r>
    </w:p>
    <w:p>
      <w:r>
        <w:rPr>
          <w:color w:val="555555"/>
          <w:sz w:val="17"/>
        </w:rPr>
        <w:t xml:space="preserve">Zitiervorschlag: § 9 ZustV-JM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https://recht.nulegal.eu/gesetze/ZustV-JM/9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