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ZustV-JM (Bayern) — Waffenrecht</w:t>
      </w:r>
    </w:p>
    <w:p>
      <w:r>
        <w:rPr>
          <w:color w:val="555555"/>
          <w:sz w:val="18"/>
        </w:rPr>
        <w:t xml:space="preserve">StMJ-Zuständigkeitsverordnung Dienstrecht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Zuständigkeiten nach § 3 Abs. 1 Satz 1 der Verordnung zur Ausführung des Waffen- und Beschussrechts werden für den Geschäftsbereich des Staatsministeriums der Justiz übertragen auf</w:t>
      </w:r>
    </w:p>
    <w:p>
      <w:r>
        <w:t xml:space="preserve">1. den Generalstaatsanwalt in München für die Bediensteten der Staatsanwaltschaften, der Generalstaatsanwaltschaften und des Justizvollzugs sowie</w:t>
      </w:r>
    </w:p>
    <w:p>
      <w:r>
        <w:t xml:space="preserve">2. den Präsidenten des Oberlandesgerichts München im Übrigen.</w:t>
      </w:r>
    </w:p>
    <w:p>
      <w:r>
        <w:rPr>
          <w:color w:val="555555"/>
          <w:sz w:val="17"/>
        </w:rPr>
        <w:t xml:space="preserve">Zitiervorschlag: § 10 ZustV-JM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https://recht.nulegal.eu/gesetze/ZustV-JM/10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