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ZustV-IM (Bayern) — Anerkennung berücksichtigungsfähiger Zeiten</w:t>
      </w:r>
    </w:p>
    <w:p>
      <w:r>
        <w:rPr>
          <w:color w:val="555555"/>
          <w:sz w:val="18"/>
        </w:rPr>
        <w:t xml:space="preserve">StMI Zuständigkeitsverordnung Beamtenrecht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Befugnis zur Entscheidung über die Anerkennung von sonstigen für die Beamtentätigkeit förderlichen hauptberuflichen Beschäftigungszeiten nach Art. 31 Abs. 2 und Art. 47 Abs. 2 Satz 2 BayBesG wird dem Präsidenten oder der Präsidentin des Verwaltungsgerichtshofs und den übrigen in § 1 genannten Behörden im Rahmen ihrer Ernennungszuständigkeit übertragen.</w:t>
      </w:r>
    </w:p>
    <w:p>
      <w:r>
        <w:rPr>
          <w:color w:val="555555"/>
          <w:sz w:val="17"/>
        </w:rPr>
        <w:t xml:space="preserve">Zitiervorschlag: § 9 ZustV-IM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https://recht.nulegal.eu/gesetze/ZustV-IM/9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