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ZustV-IM (Bayern) — Inkrafttreten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18. März 2007 in Kraft.</w:t>
      </w:r>
    </w:p>
    <w:p>
      <w:r>
        <w:t xml:space="preserve">(2) Abweichend von Abs. 1 treten</w:t>
      </w:r>
    </w:p>
    <w:p>
      <w:r>
        <w:t xml:space="preserve">– § 10 mit Wirkung vom 1. April 2001,</w:t>
      </w:r>
    </w:p>
    <w:p>
      <w:r>
        <w:t xml:space="preserve">– §§ 12 und 13 mit Wirkung vom 1. August 2002,</w:t>
      </w:r>
    </w:p>
    <w:p>
      <w:r>
        <w:t xml:space="preserve">– § 11 mit Wirkung vom 1. Oktober 2002,</w:t>
      </w:r>
    </w:p>
    <w:p>
      <w:r>
        <w:t xml:space="preserve">– § 3 Abs. 1 Nr. 8 mit Wirkung vom 1. September 2004,</w:t>
      </w:r>
    </w:p>
    <w:p>
      <w:r>
        <w:t xml:space="preserve">– §§ 14 und 15 mit Wirkung vom 1. Juli 2005,</w:t>
      </w:r>
    </w:p>
    <w:p>
      <w:r>
        <w:t xml:space="preserve">– § 8 Abs. 3 Nr. 1 und § 9 Nr. 4 mit Wirkung vom 1. Januar 2006</w:t>
      </w:r>
    </w:p>
    <w:p>
      <w:r>
        <w:t xml:space="preserve">in Kraft.</w:t>
      </w:r>
    </w:p>
    <w:p>
      <w:r>
        <w:rPr>
          <w:color w:val="555555"/>
          <w:sz w:val="17"/>
        </w:rPr>
        <w:t xml:space="preserve">Zitiervorschlag: § 17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