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13 ZustV-IM (Bayern) — Sonstige trennungsgeldrechtliche Zuständigkeiten</w:t>
      </w:r>
    </w:p>
    <w:p>
      <w:r>
        <w:rPr>
          <w:color w:val="555555"/>
          <w:sz w:val="18"/>
        </w:rPr>
        <w:t xml:space="preserve">StMI Zuständigkeitsverordnung Beamtenrecht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(1) Die Befugnisse nach § 2 Abs. 2 Satz 3, § 3 Abs. 1 Satz 4 und § 4 Abs. 8 BayTGV werden den Beschäftigungsbehörden übertragen.</w:t>
      </w:r>
    </w:p>
    <w:p>
      <w:r>
        <w:t xml:space="preserve">(2) Abweichend von Abs. 1 werden die dort genannten Befugnisse übertragen</w:t>
      </w:r>
    </w:p>
    <w:p>
      <w:r>
        <w:t xml:space="preserve">1. den Regierungen für die Beamten und Beamtinnen der Staatlichen Feuerwehrschulen, für die Staatsbeamten und -beamtinnen der Landratsämter,</w:t>
      </w:r>
    </w:p>
    <w:p>
      <w:r>
        <w:t xml:space="preserve">2. den Präsidien der Landespolizei für die Beamten und Beamtinnen der ihnen nachgeordneten Dienststellen,</w:t>
      </w:r>
    </w:p>
    <w:p>
      <w:r>
        <w:t xml:space="preserve">3. dem Präsidium der Bereitschaftspolizei für die Beamten und Beamtinnen der Bereitschaftspolizeiabteilungen, des Fortbildungsinstituts der Bayerischen Polizei und der Polizeihubschrauberstaffel.</w:t>
      </w:r>
    </w:p>
    <w:p>
      <w:r>
        <w:rPr>
          <w:color w:val="555555"/>
          <w:sz w:val="17"/>
        </w:rPr>
        <w:t xml:space="preserve">Zitiervorschlag: § 13 ZustV-IM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https://recht.nulegal.eu/gesetze/ZustV-IM/13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