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ZustV-IM (Bayern) — Bewilligung des vollen Tage- und Übernachtungsgeldes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 zur Bewilligung des vollen Tage- und Übernachtungsgeldes nach Art. 10 Abs. 2 BayRKG und nach § 5 Abs. 2 BayARV wird den Beschäftigungsbehörden übertragen.</w:t>
      </w:r>
    </w:p>
    <w:p>
      <w:r>
        <w:t xml:space="preserve">(2) Abweichend von Abs. 1 werden die dort genannten Befugnisse übertragen</w:t>
      </w:r>
    </w:p>
    <w:p>
      <w:r>
        <w:t xml:space="preserve">1. den Regierungen für die Staatsbeamten und -beamtinnen der Landratsämter,</w:t>
      </w:r>
    </w:p>
    <w:p>
      <w:r>
        <w:t xml:space="preserve">2. den Präsidien der Landespolizei für die Beamten und Beamtinnen der ihnen nachgeordneten Dienststellen.</w:t>
      </w:r>
    </w:p>
    <w:p>
      <w:r>
        <w:rPr>
          <w:color w:val="555555"/>
          <w:sz w:val="17"/>
        </w:rPr>
        <w:t xml:space="preserve">Zitiervorschlag: § 11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