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ZustV-IM (Bayern) — Genehmigung und Anordnung von Dienst- und Fortbildungsreisen</w:t>
      </w:r>
    </w:p>
    <w:p>
      <w:r>
        <w:rPr>
          <w:color w:val="555555"/>
          <w:sz w:val="18"/>
        </w:rPr>
        <w:t xml:space="preserve">StMI Zuständigkeitsverordnung Beamtenrecht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Zuständigkeit der Beschäftigungsbehörden zur Genehmigung und Anordnung von Dienst- und Fortbildungsreisen wird übertragen</w:t>
      </w:r>
    </w:p>
    <w:p>
      <w:r>
        <w:t xml:space="preserve">1. dem Staatsministerium für die Leiter und Leiterinnen der ihm unmittelbar nachgeordneten Behörden mit Ausnahme der Bayerischen Versorgungskammer, sowie für den Präsidenten oder die Präsidentin des Verwaltungsgerichtshofs,</w:t>
      </w:r>
    </w:p>
    <w:p>
      <w:r>
        <w:t xml:space="preserve">2. dem Präsidenten oder der Präsidentin des Verwaltungsgerichtshofs für die Präsidenten und Präsidentinnen der Verwaltungsgerichte,</w:t>
      </w:r>
    </w:p>
    <w:p>
      <w:r>
        <w:t xml:space="preserve">3. den Präsidien der Landespolizei für die Leiter und Leiterinnen der ihnen nachgeordneten Dienststellen,</w:t>
      </w:r>
    </w:p>
    <w:p>
      <w:r>
        <w:t xml:space="preserve">4. dem Präsidium der Bereitschaftspolizei für die Leiter und Leiterinnen der Bereitschaftspolizeiabteilungen, des Fortbildungsinstituts der Bayerischen Polizei und der Polizeihubschrauberstaffel,</w:t>
      </w:r>
    </w:p>
    <w:p>
      <w:r>
        <w:t xml:space="preserve">5. den für die Einstellung, Versetzung, Abordnung oder Aufhebung einer Abordnung zuständigen Behörden und Dienststellen für die aus diesem Anlass durchzuführenden Dienstreisen.</w:t>
      </w:r>
    </w:p>
    <w:p>
      <w:r>
        <w:rPr>
          <w:color w:val="555555"/>
          <w:sz w:val="17"/>
        </w:rPr>
        <w:t xml:space="preserve">Zitiervorschlag: § 10 ZustV-IM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https://recht.nulegal.eu/gesetze/ZustV-IM/10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