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ZustV-GM (Bayern) — Zuständigkeiten nach der Jubiläumszuwendungsverordnung</w:t>
      </w:r>
    </w:p>
    <w:p>
      <w:r>
        <w:rPr>
          <w:color w:val="555555"/>
          <w:sz w:val="18"/>
        </w:rPr>
        <w:t xml:space="preserve">StMGP-Zuständigkeitsverordnung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Befugnis für die Gewährung oder Versagung der Jubiläumszuwendungen und die Aushändigung der Dankurkunden nach § 5 Abs. 1 Satz 1 der Jubiläumszuwendungsverordnung wird für die Beamtinnen und Beamten des jeweiligen Dienstbereichs den in § 1 genannten Behörden übertragen.</w:t>
      </w:r>
    </w:p>
    <w:p>
      <w:r>
        <w:rPr>
          <w:color w:val="555555"/>
          <w:sz w:val="17"/>
        </w:rPr>
        <w:t xml:space="preserve">Zitiervorschlag: § 8 ZustV-GM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https://recht.nulegal.eu/gesetze/ZustV-GM/8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