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ZustV-GM (Bayern) — Besoldungsrechtliche Zuständigkeiten</w:t>
      </w:r>
    </w:p>
    <w:p>
      <w:r>
        <w:rPr>
          <w:color w:val="555555"/>
          <w:sz w:val="18"/>
        </w:rPr>
        <w:t xml:space="preserve">StMGP-Zuständigkeitsverordnung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Befugnis zur Entscheidung über die Vergabe von Leistungsbezügen nach den Art. 66 und 67 des Bayerischen Besoldungsgesetzes (BayBesG) wird den unmittelbaren Dienstvorgesetzten übertragen.</w:t>
      </w:r>
    </w:p>
    <w:p>
      <w:r>
        <w:t xml:space="preserve">(2) Den in § 1 genannten Behörden wird im Rahmen ihrer Ernennungsbefugnis die Befugnis zur Entscheidung über die Anerkennung von sonstigen für die Beamtentätigkeit förderlichen hauptberuflichen Beschäftigungszeiten nach Art. 31 Abs. 2 BayBesG übertragen, soweit das Einvernehmen des Staatsministeriums der Finanzen und für Heimat generell als erteilt gilt.</w:t>
      </w:r>
    </w:p>
    <w:p>
      <w:r>
        <w:rPr>
          <w:color w:val="555555"/>
          <w:sz w:val="17"/>
        </w:rPr>
        <w:t xml:space="preserve">Zitiervorschlag: § 7 ZustV-GM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https://recht.nulegal.eu/gesetze/ZustV-GM/7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