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ZustV-GM (Bayern) — Zuständigkeiten nach der Arbeitszeitverordnung</w:t>
      </w:r>
    </w:p>
    <w:p>
      <w:r>
        <w:rPr>
          <w:color w:val="555555"/>
          <w:sz w:val="18"/>
        </w:rPr>
        <w:t xml:space="preserve">StMGP-Zuständigkeitsverordnung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in § 1 genannten Behörden werden für den jeweiligen Dienstbereich die folgenden Befugnisse übertragen:</w:t>
      </w:r>
    </w:p>
    <w:p>
      <w:r>
        <w:t xml:space="preserve">1. Verlängerung oder Verkürzung der Arbeitszeit (§ 2 Abs. 3 Satz 1 der Arbeitszeitverordnung – AzV),</w:t>
      </w:r>
    </w:p>
    <w:p>
      <w:r>
        <w:t xml:space="preserve">2. Verlängerung der Arbeitszeit, wenn der Dienst Bereitschaftszeiten einschließt (§ 4 Abs. 1 Satz 1 AzV),</w:t>
      </w:r>
    </w:p>
    <w:p>
      <w:r>
        <w:t xml:space="preserve">3. Anordnung von Dienst an Sonn- und Feiertagen oder zu dienstfreien Zeiten (§ 6 Abs. 1 Satz 1 AzV),</w:t>
      </w:r>
    </w:p>
    <w:p>
      <w:r>
        <w:t xml:space="preserve">4. Regelung der Präsenzzeit (§ 7 Abs. 4 Satz 3 AzV),</w:t>
      </w:r>
    </w:p>
    <w:p>
      <w:r>
        <w:t xml:space="preserve">5. Festlegungen bei der festen Arbeitszeit (§ 8 Abs. 1 Satz 5 AzV),</w:t>
      </w:r>
    </w:p>
    <w:p>
      <w:r>
        <w:t xml:space="preserve">6. Abweichungen bei Schichtdienst und wechselndem Dienst (§ 9 Abs. 1 Satz 4 AzV).</w:t>
      </w:r>
    </w:p>
    <w:p>
      <w:r>
        <w:rPr>
          <w:color w:val="555555"/>
          <w:sz w:val="17"/>
        </w:rPr>
        <w:t xml:space="preserve">Zitiervorschlag: § 6 ZustV-GM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https://recht.nulegal.eu/gesetze/ZustV-GM/6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