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ZustV-GM (Bayern) — Zuständigkeit nach der Urlaubsverordnung</w:t>
      </w:r>
    </w:p>
    <w:p>
      <w:r>
        <w:rPr>
          <w:color w:val="555555"/>
          <w:sz w:val="18"/>
        </w:rPr>
        <w:t xml:space="preserve">StMGP-Zuständigkeitsverordnung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Den in § 1 genannten Behörden wird für den jeweiligen Dienstbereich die Befugnis übertragen, Sonderurlaub über einen Zeitraum von mehr als sechs Monaten zu gewähren (§ 18 Abs. 1 Satz 2 der Urlaubsverordnung). § 3 Abs. 2 gilt entsprechend.</w:t>
      </w:r>
    </w:p>
    <w:p>
      <w:r>
        <w:rPr>
          <w:color w:val="555555"/>
          <w:sz w:val="17"/>
        </w:rPr>
        <w:t xml:space="preserve">Zitiervorschlag: § 5 ZustV-GM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https://recht.nulegal.eu/gesetze/ZustV-GM/5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