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ZustV-GM (Bayern) — Zuständigkeiten nach dem Leistungslaufbahngesetz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genannten Behörden werden im Rahmen ihrer Ernennungsbefugnis folgende Befugnisse übertragen, soweit keine Antragstellung beim Landespersonalausschuss erforderlich ist:</w:t>
      </w:r>
    </w:p>
    <w:p>
      <w:r>
        <w:t xml:space="preserve">1. Anrechnung von Zeiten, die nach Art. 15 Abs. 4 Satz 1 Nr. 2 bis 4 des Leistungslaufbahngesetzes (LlbG) als Dienstzeit gelten, auf die Probezeit (Art. 12 Abs. 3 Satz 6 LlbG),</w:t>
      </w:r>
    </w:p>
    <w:p>
      <w:r>
        <w:t xml:space="preserve">2. Verlängerung der Probezeit auf bis zu fünf Jahre (Art. 12 Abs. 4 Satz 2 LlbG).</w:t>
      </w:r>
    </w:p>
    <w:p>
      <w:r>
        <w:rPr>
          <w:color w:val="555555"/>
          <w:sz w:val="17"/>
        </w:rPr>
        <w:t xml:space="preserve">Zitiervorschlag: § 4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