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ZustV-GM (Bayern) — Abordnungen und Versetzungen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in § 1 genannten Behörden wird die Befugnis übertragen, auch diejenigen Beamtinnen und Beamten abzuordnen, für die sie nicht Ernennungsbehörde sind.</w:t>
      </w:r>
    </w:p>
    <w:p>
      <w:r>
        <w:t xml:space="preserve">(2) Über den jeweiligen eigenen Dienstbereich hinausgehende Abordnungen oder Versetzungen dürfen nur im Einvernehmen mit der aufnehmenden Stelle angeordnet werden. In der Verfügung ist auszudrücken, dass das Einvernehmen vorliegt.</w:t>
      </w:r>
    </w:p>
    <w:p>
      <w:r>
        <w:rPr>
          <w:color w:val="555555"/>
          <w:sz w:val="17"/>
        </w:rPr>
        <w:t xml:space="preserve">Zitiervorschlag: § 2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