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ZustV-GM (Bayern) — Ernennungen</w:t>
      </w:r>
    </w:p>
    <w:p>
      <w:r>
        <w:rPr>
          <w:color w:val="555555"/>
          <w:sz w:val="18"/>
        </w:rPr>
        <w:t xml:space="preserve">StMGP-Zuständigkeitsverordnung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Befugnis zur Ernennung der Beamtinnen und Beamten bis zur Besoldungsgruppe A 15 im Geschäftsbereich des Staatsministeriums für Gesundheit, Pflege und Prävention wird für den jeweiligen Dienstbereich übertragen:</w:t>
      </w:r>
    </w:p>
    <w:p>
      <w:r>
        <w:t xml:space="preserve">1. den Regierungen,</w:t>
      </w:r>
    </w:p>
    <w:p>
      <w:r>
        <w:t xml:space="preserve">2. dem Landesamt für Gesundheit und Lebensmittelsicherheit.</w:t>
      </w:r>
    </w:p>
    <w:p>
      <w:r>
        <w:rPr>
          <w:color w:val="555555"/>
          <w:sz w:val="17"/>
        </w:rPr>
        <w:t xml:space="preserve">Zitiervorschlag: § 1 ZustV-GM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https://recht.nulegal.eu/gesetze/ZustV-GM/1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