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ZustV-GA (Bayern) — Anlage Besondere Zuständigkeiten</w:t>
      </w:r>
    </w:p>
    <w:p>
      <w:r>
        <w:rPr>
          <w:color w:val="555555"/>
          <w:sz w:val="18"/>
        </w:rPr>
        <w:t xml:space="preserve">Verordnung über gewerbeaufsichtliche Zuständigkeiten BayRS 805-2-A/U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Abkürzungen</w:t>
      </w:r>
    </w:p>
    <w:p>
      <w:r>
        <w:t xml:space="preserve">GAA …</w:t>
      </w:r>
    </w:p>
    <w:p>
      <w:r>
        <w:t xml:space="preserve">Regierung von … – Gewerbeaufsicht –</w:t>
      </w:r>
    </w:p>
    <w:p>
      <w:r>
        <w:t xml:space="preserve">Gde</w:t>
      </w:r>
    </w:p>
    <w:p>
      <w:r>
        <w:t xml:space="preserve">Gemeinde</w:t>
      </w:r>
    </w:p>
    <w:p>
      <w:r>
        <w:t xml:space="preserve">KVB</w:t>
      </w:r>
    </w:p>
    <w:p>
      <w:r>
        <w:t xml:space="preserve">Kreisverwaltungsbehörde</w:t>
      </w:r>
    </w:p>
    <w:p>
      <w:r>
        <w:t xml:space="preserve">LGL</w:t>
      </w:r>
    </w:p>
    <w:p>
      <w:r>
        <w:t xml:space="preserve">Landesamt für Gesundheit und Lebensmittelsicherheit</w:t>
      </w:r>
    </w:p>
    <w:p>
      <w:r>
        <w:t xml:space="preserve">LfU</w:t>
      </w:r>
    </w:p>
    <w:p>
      <w:r>
        <w:t xml:space="preserve">Landesamt für Umwelt</w:t>
      </w:r>
    </w:p>
    <w:p>
      <w:r>
        <w:t xml:space="preserve">LKA</w:t>
      </w:r>
    </w:p>
    <w:p>
      <w:r>
        <w:t xml:space="preserve">Landeskriminalamt</w:t>
      </w:r>
    </w:p>
    <w:p>
      <w:r>
        <w:t xml:space="preserve">LMG</w:t>
      </w:r>
    </w:p>
    <w:p>
      <w:r>
        <w:t xml:space="preserve">Landesamt für Maß und Gewicht</w:t>
      </w:r>
    </w:p>
    <w:p>
      <w:r>
        <w:t xml:space="preserve">Pol</w:t>
      </w:r>
    </w:p>
    <w:p>
      <w:r>
        <w:t xml:space="preserve">Polizei</w:t>
      </w:r>
    </w:p>
    <w:p>
      <w:r>
        <w:t xml:space="preserve">Reg</w:t>
      </w:r>
    </w:p>
    <w:p>
      <w:r>
        <w:t xml:space="preserve">Regierung</w:t>
      </w:r>
    </w:p>
    <w:p>
      <w:r>
        <w:t xml:space="preserve">ZBS</w:t>
      </w:r>
    </w:p>
    <w:p>
      <w:r>
        <w:t xml:space="preserve">Bayerisches Polizeiverwaltungsamt – Zentrale Bußgeldstelle –</w:t>
      </w:r>
    </w:p>
    <w:p>
      <w:r>
        <w:t xml:space="preserve">ZLG</w:t>
      </w:r>
    </w:p>
    <w:p>
      <w:r>
        <w:t xml:space="preserve">Zentralstelle der Länder für Gesundheitsschutz bei Arzneimitteln und Medizinprodukten</w:t>
      </w:r>
    </w:p>
    <w:p>
      <w:r>
        <w:t xml:space="preserve">ZLS</w:t>
      </w:r>
    </w:p>
    <w:p>
      <w:r>
        <w:t xml:space="preserve">Zentralstelle der Länder für Sicherheitstechnik</w:t>
      </w:r>
    </w:p>
    <w:p>
      <w:r>
        <w:t xml:space="preserve">Nr.</w:t>
      </w:r>
    </w:p>
    <w:p>
      <w:r>
        <w:t xml:space="preserve">Aufgabe/zu vollziehende Rechtsnorm</w:t>
      </w:r>
    </w:p>
    <w:p>
      <w:r>
        <w:t xml:space="preserve">Zuständige Behörde/Zuständigkeitsvorschrift</w:t>
      </w:r>
    </w:p>
    <w:p>
      <w:r>
        <w:t xml:space="preserve">1.</w:t>
      </w:r>
    </w:p>
    <w:p>
      <w:r>
        <w:t xml:space="preserve">Arbeitsschutzgesetz</w:t>
      </w:r>
    </w:p>
    <w:p>
      <w:r>
        <w:t xml:space="preserve">soweit Schankanlagen betroffen sind</w:t>
      </w:r>
    </w:p>
    <w:p>
      <w:r>
        <w:t xml:space="preserve">KVB</w:t>
      </w:r>
    </w:p>
    <w:p>
      <w:r>
        <w:t xml:space="preserve">2.</w:t>
      </w:r>
    </w:p>
    <w:p>
      <w:r>
        <w:t xml:space="preserve">Betriebssicherheitsverordnung (BetrSichV)</w:t>
      </w:r>
    </w:p>
    <w:p>
      <w:r>
        <w:t xml:space="preserve">2.1</w:t>
      </w:r>
    </w:p>
    <w:p>
      <w:r>
        <w:t xml:space="preserve">soweit Schankanlagen betroffen sind</w:t>
      </w:r>
    </w:p>
    <w:p>
      <w:r>
        <w:t xml:space="preserve">KVB</w:t>
      </w:r>
    </w:p>
    <w:p>
      <w:r>
        <w:t xml:space="preserve">2.2</w:t>
      </w:r>
    </w:p>
    <w:p>
      <w:r>
        <w:t xml:space="preserve">Anhang 2 Abschnitt 3 Nr. 3.2 BetrSichV</w:t>
      </w:r>
    </w:p>
    <w:p>
      <w:r>
        <w:t xml:space="preserve">GAA MFr</w:t>
      </w:r>
    </w:p>
    <w:p>
      <w:r>
        <w:t xml:space="preserve">2.3</w:t>
      </w:r>
    </w:p>
    <w:p>
      <w:r>
        <w:t xml:space="preserve">Überwachung und Betreuung einer die Grenzen eines Regierungsbezirks überschreitenden Anlage</w:t>
      </w:r>
    </w:p>
    <w:p>
      <w:r>
        <w:t xml:space="preserve">gemäß Einzelfallbestimmung durch StMUV, soweit getroffen</w:t>
      </w:r>
    </w:p>
    <w:p>
      <w:r>
        <w:t xml:space="preserve">3.</w:t>
      </w:r>
    </w:p>
    <w:p>
      <w:r>
        <w:t xml:space="preserve">Druckluftverordnung</w:t>
      </w:r>
    </w:p>
    <w:p>
      <w:r>
        <w:t xml:space="preserve">3.1</w:t>
      </w:r>
    </w:p>
    <w:p>
      <w:r>
        <w:t xml:space="preserve">Anerkennung von Sachverständigen nach § 7 Abs. 1, § 17 Abs. 3 Druckluftverordnung</w:t>
      </w:r>
    </w:p>
    <w:p>
      <w:r>
        <w:t xml:space="preserve">StMAS</w:t>
      </w:r>
    </w:p>
    <w:p>
      <w:r>
        <w:t xml:space="preserve">3.2</w:t>
      </w:r>
    </w:p>
    <w:p>
      <w:r>
        <w:t xml:space="preserve">Ermächtigung nach § 13 Druckluftverordnung</w:t>
      </w:r>
    </w:p>
    <w:p>
      <w:r>
        <w:t xml:space="preserve">LGL</w:t>
      </w:r>
    </w:p>
    <w:p>
      <w:r>
        <w:t xml:space="preserve">4.</w:t>
      </w:r>
    </w:p>
    <w:p>
      <w:r>
        <w:t xml:space="preserve">Verordnung zur arbeitsmedizinischen Vorsorge (ArbMedVV)</w:t>
      </w:r>
    </w:p>
    <w:p>
      <w:r>
        <w:t xml:space="preserve">§ 7 Abs. 2 ArbMedVV</w:t>
      </w:r>
    </w:p>
    <w:p>
      <w:r>
        <w:t xml:space="preserve">LGL</w:t>
      </w:r>
    </w:p>
    <w:p>
      <w:r>
        <w:t xml:space="preserve">5.</w:t>
      </w:r>
    </w:p>
    <w:p>
      <w:r>
        <w:t xml:space="preserve">Produktsicherheitsgesetz (ProdSG)</w:t>
      </w:r>
    </w:p>
    <w:p>
      <w:r>
        <w:t xml:space="preserve">5.1</w:t>
      </w:r>
    </w:p>
    <w:p>
      <w:r>
        <w:t xml:space="preserve">Befugnis erteilende Behörde gemäß Abschnitte 3 bis 5 ProdSG – einschließlich Notifizierung –</w:t>
      </w:r>
    </w:p>
    <w:p>
      <w:r>
        <w:t xml:space="preserve">ZLS</w:t>
      </w:r>
    </w:p>
    <w:p>
      <w:r>
        <w:t xml:space="preserve">5.2</w:t>
      </w:r>
    </w:p>
    <w:p>
      <w:r>
        <w:t xml:space="preserve">Abschnitte 2 bis 7 ProdSG – soweit nicht Nr. 5.1 –, bei Bedarfsgegenständen nur hinsichtlich ihrer nichtstofflichen Beschaffenheit</w:t>
      </w:r>
    </w:p>
    <w:p>
      <w:r>
        <w:t xml:space="preserve">ZLS – soweit im Abkommen über die ZLS geregelt –, im Übrigen GAA OB für OB, NB, Schw. und GAA MFr. für die übrigen Regierungsbezirke</w:t>
      </w:r>
    </w:p>
    <w:p>
      <w:r>
        <w:t xml:space="preserve">6.</w:t>
      </w:r>
    </w:p>
    <w:p>
      <w:r>
        <w:t xml:space="preserve">Geräte- und Maschinenlärmschutzverordnung (32. BImSchV)</w:t>
      </w:r>
    </w:p>
    <w:p>
      <w:r>
        <w:t xml:space="preserve">§ 6 Abs. 1 32. BImSchV</w:t>
      </w:r>
    </w:p>
    <w:p>
      <w:r>
        <w:t xml:space="preserve">StMUV</w:t>
      </w:r>
    </w:p>
    <w:p>
      <w:r>
        <w:t xml:space="preserve">7.</w:t>
      </w:r>
    </w:p>
    <w:p>
      <w:r>
        <w:t xml:space="preserve">Elektro- und Elektronikgeräte-Stoff-Verordnung</w:t>
      </w:r>
    </w:p>
    <w:p>
      <w:r>
        <w:t xml:space="preserve">GAA NB</w:t>
      </w:r>
    </w:p>
    <w:p>
      <w:r>
        <w:t xml:space="preserve">8.</w:t>
      </w:r>
    </w:p>
    <w:p>
      <w:r>
        <w:t xml:space="preserve">(aufgehoben)</w:t>
      </w:r>
    </w:p>
    <w:p>
      <w:r>
        <w:t xml:space="preserve">9.</w:t>
      </w:r>
    </w:p>
    <w:p>
      <w:r>
        <w:t xml:space="preserve">Arbeitszeitgesetz (ArbZG)</w:t>
      </w:r>
    </w:p>
    <w:p>
      <w:r>
        <w:t xml:space="preserve">9.1</w:t>
      </w:r>
    </w:p>
    <w:p>
      <w:r>
        <w:t xml:space="preserve">§ 7 Abs. 5, § 13 Abs. 3 Nr. 1, Abs. 4, § 15 Abs. 1 Nr. 2 ArbZG</w:t>
      </w:r>
    </w:p>
    <w:p>
      <w:r>
        <w:t xml:space="preserve">GAA OB</w:t>
      </w:r>
    </w:p>
    <w:p>
      <w:r>
        <w:t xml:space="preserve">9.1a</w:t>
      </w:r>
    </w:p>
    <w:p>
      <w:r>
        <w:t xml:space="preserve">§ 13 Abs. 3 Nr. 2 und Abs. 5, § 15 Abs. 2 ArbZG</w:t>
      </w:r>
    </w:p>
    <w:p>
      <w:r>
        <w:t xml:space="preserve">GAA OB für OB, OFr, NB</w:t>
      </w:r>
    </w:p>
    <w:p>
      <w:r>
        <w:t xml:space="preserve">9.2</w:t>
      </w:r>
    </w:p>
    <w:p>
      <w:r>
        <w:t xml:space="preserve">Überwachung auf Verstöße nach §§ 22, 23 ArbZG und § 14 Binnenschifffahrts-Arbeitszeitverordnung: bei Kontrollen auf Binnengewässern</w:t>
      </w:r>
    </w:p>
    <w:p>
      <w:r>
        <w:t xml:space="preserve">Pol</w:t>
      </w:r>
    </w:p>
    <w:p>
      <w:r>
        <w:t xml:space="preserve">10.</w:t>
      </w:r>
    </w:p>
    <w:p>
      <w:r>
        <w:t xml:space="preserve">Fahrpersonalgesetz (FPersG)</w:t>
      </w:r>
    </w:p>
    <w:p>
      <w:r>
        <w:t xml:space="preserve">10.1</w:t>
      </w:r>
    </w:p>
    <w:p>
      <w:r>
        <w:t xml:space="preserve">§ 4 Abs. 1 und 3 FPersG: bei Straßenkontrollen</w:t>
      </w:r>
    </w:p>
    <w:p>
      <w:r>
        <w:t xml:space="preserve">Pol</w:t>
      </w:r>
    </w:p>
    <w:p>
      <w:r>
        <w:t xml:space="preserve">10.2</w:t>
      </w:r>
    </w:p>
    <w:p>
      <w:r>
        <w:t xml:space="preserve">§ 5 Abs. 1, § 7 FPersG: Untersagung der Weiterfahrt</w:t>
      </w:r>
    </w:p>
    <w:p>
      <w:r>
        <w:t xml:space="preserve">Pol</w:t>
      </w:r>
    </w:p>
    <w:p>
      <w:r>
        <w:t xml:space="preserve">11.</w:t>
      </w:r>
    </w:p>
    <w:p>
      <w:r>
        <w:t xml:space="preserve">Fahrpersonalverordnung (FPersV)</w:t>
      </w:r>
    </w:p>
    <w:p>
      <w:r>
        <w:t xml:space="preserve">11.1</w:t>
      </w:r>
    </w:p>
    <w:p>
      <w:r>
        <w:t xml:space="preserve">§ 4 Abs. 2 FPersV</w:t>
      </w:r>
    </w:p>
    <w:p>
      <w:r>
        <w:t xml:space="preserve">TÜV SÜD Auto Service GmbH und DEKRA Automobil GmbH</w:t>
      </w:r>
    </w:p>
    <w:p>
      <w:r>
        <w:t xml:space="preserve">11.2</w:t>
      </w:r>
    </w:p>
    <w:p>
      <w:r>
        <w:t xml:space="preserve">§ 20 Abs. 1 bis 4 FPersV: bei Straßenkontrollen</w:t>
      </w:r>
    </w:p>
    <w:p>
      <w:r>
        <w:t xml:space="preserve">Pol</w:t>
      </w:r>
    </w:p>
    <w:p>
      <w:r>
        <w:t xml:space="preserve">12.</w:t>
      </w:r>
    </w:p>
    <w:p>
      <w:r>
        <w:t xml:space="preserve">Verordnung (EG) Nr. 561/2006</w:t>
      </w:r>
    </w:p>
    <w:p>
      <w:r>
        <w:t xml:space="preserve">12.1</w:t>
      </w:r>
    </w:p>
    <w:p>
      <w:r>
        <w:t xml:space="preserve">Erstellung der Berichte gemäß Art. 17 der Verordnung (EG) Nr. 561/2006</w:t>
      </w:r>
    </w:p>
    <w:p>
      <w:r>
        <w:t xml:space="preserve">a) Datenerhebung bei Straßenkontrollen gemäß Berichtsmuster</w:t>
      </w:r>
    </w:p>
    <w:p>
      <w:r>
        <w:t xml:space="preserve">Pol/ZBS</w:t>
      </w:r>
    </w:p>
    <w:p>
      <w:r>
        <w:t xml:space="preserve">b) Datenerhebung bei Betriebskontrollen gemäß Berichtsmuster</w:t>
      </w:r>
    </w:p>
    <w:p>
      <w:r>
        <w:t xml:space="preserve">GAA</w:t>
      </w:r>
    </w:p>
    <w:p>
      <w:r>
        <w:t xml:space="preserve">c) Erstellung des bayernweiten Gesamtberichts der Gewerbeaufsicht</w:t>
      </w:r>
    </w:p>
    <w:p>
      <w:r>
        <w:t xml:space="preserve">LGL</w:t>
      </w:r>
    </w:p>
    <w:p>
      <w:r>
        <w:t xml:space="preserve">12.2</w:t>
      </w:r>
    </w:p>
    <w:p>
      <w:r>
        <w:t xml:space="preserve">Entgegennahme und Weiterleitung der Berichte gemäß Art. 17 der Verordnung (EG) Nr. 561/2006</w:t>
      </w:r>
    </w:p>
    <w:p>
      <w:r>
        <w:t xml:space="preserve">StMAS</w:t>
      </w:r>
    </w:p>
    <w:p>
      <w:r>
        <w:t xml:space="preserve">13.</w:t>
      </w:r>
    </w:p>
    <w:p>
      <w:r>
        <w:t xml:space="preserve">Jugendarbeitsschutzgesetz (JArbSchG)</w:t>
      </w:r>
    </w:p>
    <w:p>
      <w:r>
        <w:t xml:space="preserve">13.1</w:t>
      </w:r>
    </w:p>
    <w:p>
      <w:r>
        <w:t xml:space="preserve">§ 27 Abs. 2, § 51 JArbSchG</w:t>
      </w:r>
    </w:p>
    <w:p>
      <w:r>
        <w:t xml:space="preserve">Das GAA entscheidet bei landwirtschaftlichen Betrieben im Benehmen mit dem zuständigen Amt für Ernährung, Landwirtschaft und Forsten, bei einem Beschäftigungsverbot nach § 27 Abs. 2 JArbSchG auch im Benehmen mit dem zuständigen Jugendamt</w:t>
      </w:r>
    </w:p>
    <w:p>
      <w:r>
        <w:t xml:space="preserve">13.2</w:t>
      </w:r>
    </w:p>
    <w:p>
      <w:r>
        <w:t xml:space="preserve">§ 44 JArbSchG</w:t>
      </w:r>
    </w:p>
    <w:p>
      <w:r>
        <w:t xml:space="preserve">a)</w:t>
      </w:r>
    </w:p>
    <w:p>
      <w:r>
        <w:t xml:space="preserve">Prüfung der vierteljährlichen Abrechnungen und der vierteljährlichen Prüfberichte der Kassenärztlichen Vereinigung Bayerns über die Auszahlung der Beträge, die den Ärzten für die Untersuchung Jugendlicher nach dem JArbSchG zustehen</w:t>
      </w:r>
    </w:p>
    <w:p>
      <w:r>
        <w:t xml:space="preserve">a)</w:t>
      </w:r>
    </w:p>
    <w:p>
      <w:r>
        <w:t xml:space="preserve">LGL</w:t>
      </w:r>
    </w:p>
    <w:p>
      <w:r>
        <w:t xml:space="preserve">b)</w:t>
      </w:r>
    </w:p>
    <w:p>
      <w:r>
        <w:t xml:space="preserve">Auszahlung der vierteljährlichen erstattungsfähigen Gesamtbeträge an die Kassenärztliche Vereinigung Bayerns</w:t>
      </w:r>
    </w:p>
    <w:p>
      <w:r>
        <w:t xml:space="preserve">b)</w:t>
      </w:r>
    </w:p>
    <w:p>
      <w:r>
        <w:t xml:space="preserve">LGL</w:t>
      </w:r>
    </w:p>
    <w:p>
      <w:r>
        <w:t xml:space="preserve">13.3</w:t>
      </w:r>
    </w:p>
    <w:p>
      <w:r>
        <w:t xml:space="preserve">§ 55 Abs. 1 JArbSchG</w:t>
      </w:r>
    </w:p>
    <w:p>
      <w:r>
        <w:t xml:space="preserve">StMAS</w:t>
      </w:r>
    </w:p>
    <w:p>
      <w:r>
        <w:t xml:space="preserve">13.4</w:t>
      </w:r>
    </w:p>
    <w:p>
      <w:r>
        <w:t xml:space="preserve">§ 56 Abs. 3 Satz 1 JArbSchG</w:t>
      </w:r>
    </w:p>
    <w:p>
      <w:r>
        <w:t xml:space="preserve">StMBW für die Berufung eines Lehrers</w:t>
      </w:r>
    </w:p>
    <w:p>
      <w:r>
        <w:t xml:space="preserve">14.</w:t>
      </w:r>
    </w:p>
    <w:p>
      <w:r>
        <w:t xml:space="preserve">Verordnung über die ärztlichen Untersuchungen nach dem Jugendarbeitsschutzgesetz (JArbSchUV)</w:t>
      </w:r>
    </w:p>
    <w:p>
      <w:r>
        <w:t xml:space="preserve">14.1</w:t>
      </w:r>
    </w:p>
    <w:p>
      <w:r>
        <w:t xml:space="preserve">Ausgabe von Untersuchungsberechtigungsscheinen und Erhebungsbögen für Untersuchungen nach § 32 Abs. 1, § 33 Abs. 1 JArbSchG an bayerische Schüler</w:t>
      </w:r>
    </w:p>
    <w:p>
      <w:r>
        <w:t xml:space="preserve">zuletzt besuchte bayerische Schule</w:t>
      </w:r>
    </w:p>
    <w:p>
      <w:r>
        <w:t xml:space="preserve">14.2</w:t>
      </w:r>
    </w:p>
    <w:p>
      <w:r>
        <w:t xml:space="preserve">§ 4 JArbSchUV hinsichtlich der Ausgabe von Untersuchungsbögen</w:t>
      </w:r>
    </w:p>
    <w:p>
      <w:r>
        <w:t xml:space="preserve">Kassenärztliche Vereinigung Bayerns oder die von ihr im Einvernehmen mit dem StMAS benannte Stelle</w:t>
      </w:r>
    </w:p>
    <w:p>
      <w:r>
        <w:t xml:space="preserve">15.</w:t>
      </w:r>
    </w:p>
    <w:p>
      <w:r>
        <w:t xml:space="preserve">Mutterschutzgesetz (MuSchG)</w:t>
      </w:r>
    </w:p>
    <w:p>
      <w:r>
        <w:t xml:space="preserve">§ 17 Abs. 2 Satz 1 MuSchG</w:t>
      </w:r>
    </w:p>
    <w:p>
      <w:r>
        <w:t xml:space="preserve">GAA OFr. für OFr., UFr., MFr. und OPf., im Übrigen GAA OB</w:t>
      </w:r>
    </w:p>
    <w:p>
      <w:r>
        <w:t xml:space="preserve">16.</w:t>
      </w:r>
    </w:p>
    <w:p>
      <w:r>
        <w:t xml:space="preserve">Bundeselterngeld- und Elternzeitgesetz (BEEG)</w:t>
      </w:r>
    </w:p>
    <w:p>
      <w:r>
        <w:t xml:space="preserve">§ 18 Abs. 1 Satz 4 und 5 BEEG</w:t>
      </w:r>
    </w:p>
    <w:p>
      <w:r>
        <w:t xml:space="preserve">wie Nr. 15</w:t>
      </w:r>
    </w:p>
    <w:p>
      <w:r>
        <w:t xml:space="preserve">17.</w:t>
      </w:r>
    </w:p>
    <w:p>
      <w:r>
        <w:t xml:space="preserve">Chemikaliengesetz (ChemG)</w:t>
      </w:r>
    </w:p>
    <w:p>
      <w:r>
        <w:t xml:space="preserve">17.1</w:t>
      </w:r>
    </w:p>
    <w:p>
      <w:r>
        <w:t xml:space="preserve">§ 9 Abs. 1 und 2, § 10 Abs. 2, § 12f ChemG</w:t>
      </w:r>
    </w:p>
    <w:p>
      <w:r>
        <w:t xml:space="preserve">LGL</w:t>
      </w:r>
    </w:p>
    <w:p>
      <w:r>
        <w:t xml:space="preserve">17.2</w:t>
      </w:r>
    </w:p>
    <w:p>
      <w:r>
        <w:t xml:space="preserve">§§ 12i und 12j ChemG</w:t>
      </w:r>
    </w:p>
    <w:p>
      <w:r>
        <w:t xml:space="preserve">GAA NB für OB, NB, Schw. sowie im Übrigen GAA OFr.</w:t>
      </w:r>
    </w:p>
    <w:p>
      <w:r>
        <w:t xml:space="preserve">17.3</w:t>
      </w:r>
    </w:p>
    <w:p>
      <w:r>
        <w:t xml:space="preserve">§ 16e Abs. 2 ChemG</w:t>
      </w:r>
    </w:p>
    <w:p>
      <w:r>
        <w:t xml:space="preserve">GAA OFr. (nur für Biozidprodukte), im Übrigen GAA UFr.</w:t>
      </w:r>
    </w:p>
    <w:p>
      <w:r>
        <w:t xml:space="preserve">17.4</w:t>
      </w:r>
    </w:p>
    <w:p>
      <w:r>
        <w:t xml:space="preserve">§ 16e Abs. 3 ChemG</w:t>
      </w:r>
    </w:p>
    <w:p>
      <w:r>
        <w:t xml:space="preserve">StMUV</w:t>
      </w:r>
    </w:p>
    <w:p>
      <w:r>
        <w:t xml:space="preserve">17.5</w:t>
      </w:r>
    </w:p>
    <w:p>
      <w:r>
        <w:t xml:space="preserve">§ 16f ChemG</w:t>
      </w:r>
    </w:p>
    <w:p>
      <w:r>
        <w:t xml:space="preserve">GAA OFr.</w:t>
      </w:r>
    </w:p>
    <w:p>
      <w:r>
        <w:t xml:space="preserve">17.6</w:t>
      </w:r>
    </w:p>
    <w:p>
      <w:r>
        <w:t xml:space="preserve">§ 19a Abs. 4, § 19b Abs. 1 und 3, in Verbindung mit den §§ 21 und 22 ChemG</w:t>
      </w:r>
    </w:p>
    <w:p>
      <w:r>
        <w:t xml:space="preserve">LGL</w:t>
      </w:r>
    </w:p>
    <w:p>
      <w:r>
        <w:t xml:space="preserve">17.7</w:t>
      </w:r>
    </w:p>
    <w:p>
      <w:r>
        <w:t xml:space="preserve">§ 28 Abs. 8 und 9 ChemG</w:t>
      </w:r>
    </w:p>
    <w:p>
      <w:r>
        <w:t xml:space="preserve">GAA OFr.</w:t>
      </w:r>
    </w:p>
    <w:p>
      <w:r>
        <w:t xml:space="preserve">18.</w:t>
      </w:r>
    </w:p>
    <w:p>
      <w:r>
        <w:t xml:space="preserve">Gefahrstoffverordnung (GefStoffV)</w:t>
      </w:r>
    </w:p>
    <w:p>
      <w:r>
        <w:t xml:space="preserve">18.1</w:t>
      </w:r>
    </w:p>
    <w:p>
      <w:r>
        <w:t xml:space="preserve">§ 4 Abs. 3 und 4 sowie 7 bis 9, §§ 5 und 18 Abs. 4 GefStoffV, soweit nicht in Nr. 18.2 geregelt</w:t>
      </w:r>
    </w:p>
    <w:p>
      <w:r>
        <w:t xml:space="preserve">GAA UFr.</w:t>
      </w:r>
    </w:p>
    <w:p>
      <w:r>
        <w:t xml:space="preserve">18.2</w:t>
      </w:r>
    </w:p>
    <w:p>
      <w:r>
        <w:t xml:space="preserve">§ 4 Abs. 3, 5 und 6 GefStoffV für Biozid-Produkte</w:t>
      </w:r>
    </w:p>
    <w:p>
      <w:r>
        <w:t xml:space="preserve">GAA OFr.</w:t>
      </w:r>
    </w:p>
    <w:p>
      <w:r>
        <w:t xml:space="preserve">18.3</w:t>
      </w:r>
    </w:p>
    <w:p>
      <w:r>
        <w:t xml:space="preserve">Behördliche Anerkennungen nach § 2 Abs. 4c und 17 Satz 1 und 3, § 10 Abs. 2 Satz 3, § 19a, Anhang I Nr. 3.7 und 4.4 GefStoffV sowie die Entgegennahme von Mitteilungen nach Anhang I Nr. 3.6 Abs. 2 Satz 3 GefStoffV</w:t>
      </w:r>
    </w:p>
    <w:p>
      <w:r>
        <w:t xml:space="preserve">LGL</w:t>
      </w:r>
    </w:p>
    <w:p>
      <w:r>
        <w:t xml:space="preserve">19.</w:t>
      </w:r>
    </w:p>
    <w:p>
      <w:r>
        <w:t xml:space="preserve">Verordnung (EU) 2024/590</w:t>
      </w:r>
    </w:p>
    <w:p>
      <w:r>
        <w:t xml:space="preserve">und Chemikalien-Ozonschichtverordnung (ChemOzonSchichtV)</w:t>
      </w:r>
    </w:p>
    <w:p>
      <w:r>
        <w:t xml:space="preserve">19.1</w:t>
      </w:r>
    </w:p>
    <w:p>
      <w:r>
        <w:t xml:space="preserve">Verordnung (EU) 2024/590</w:t>
      </w:r>
    </w:p>
    <w:p>
      <w:r>
        <w:t xml:space="preserve">GAA NB für OB, NB, Schw., im Übrigen GAA OFr.</w:t>
      </w:r>
    </w:p>
    <w:p>
      <w:r>
        <w:t xml:space="preserve">19.2</w:t>
      </w:r>
    </w:p>
    <w:p>
      <w:r>
        <w:t xml:space="preserve">§ 3 Abs. 2 und 3 ChemOzonSchichtV</w:t>
      </w:r>
    </w:p>
    <w:p>
      <w:r>
        <w:t xml:space="preserve">vgl. § 1 in Verbindung mit Anlage Nr. 16 Abfallzuständigkeitsverordnung (AbfZustV)</w:t>
      </w:r>
    </w:p>
    <w:p>
      <w:r>
        <w:t xml:space="preserve">19.3</w:t>
      </w:r>
    </w:p>
    <w:p>
      <w:r>
        <w:t xml:space="preserve">§ 5 Abs. 2 Nr. 1 und 3 ChemOzonSchichtV</w:t>
      </w:r>
    </w:p>
    <w:p>
      <w:r>
        <w:t xml:space="preserve">LfU</w:t>
      </w:r>
    </w:p>
    <w:p>
      <w:r>
        <w:t xml:space="preserve">19.4</w:t>
      </w:r>
    </w:p>
    <w:p>
      <w:r>
        <w:t xml:space="preserve">ChemOzonSchichtV im Übrigen</w:t>
      </w:r>
    </w:p>
    <w:p>
      <w:r>
        <w:t xml:space="preserve">wie Nr. 19.1</w:t>
      </w:r>
    </w:p>
    <w:p>
      <w:r>
        <w:t xml:space="preserve">20.</w:t>
      </w:r>
    </w:p>
    <w:p>
      <w:r>
        <w:t xml:space="preserve">Chemikalien-Verbotsverordnung (ChemVerbotsV)</w:t>
      </w:r>
    </w:p>
    <w:p>
      <w:r>
        <w:t xml:space="preserve">20.1</w:t>
      </w:r>
    </w:p>
    <w:p>
      <w:r>
        <w:t xml:space="preserve">§§ 3 und 4 ChemVerbotsV</w:t>
      </w:r>
    </w:p>
    <w:p>
      <w:r>
        <w:t xml:space="preserve">GAA UFr.</w:t>
      </w:r>
    </w:p>
    <w:p>
      <w:r>
        <w:t xml:space="preserve">20.2</w:t>
      </w:r>
    </w:p>
    <w:p>
      <w:r>
        <w:t xml:space="preserve">§§ 6, 7 und 11 ChemVerbotsV</w:t>
      </w:r>
    </w:p>
    <w:p>
      <w:r>
        <w:t xml:space="preserve">GAA NB</w:t>
      </w:r>
    </w:p>
    <w:p>
      <w:r>
        <w:t xml:space="preserve">a) für die Anerkennung von Einrichtungen nach § 11 Abs. 1 ChemVerbotsV</w:t>
      </w:r>
    </w:p>
    <w:p>
      <w:r>
        <w:t xml:space="preserve">a) LGL</w:t>
      </w:r>
    </w:p>
    <w:p>
      <w:r>
        <w:t xml:space="preserve">b) im Übrigen</w:t>
      </w:r>
    </w:p>
    <w:p>
      <w:r>
        <w:t xml:space="preserve">b) GAA NB</w:t>
      </w:r>
    </w:p>
    <w:p>
      <w:r>
        <w:t xml:space="preserve">20.3</w:t>
      </w:r>
    </w:p>
    <w:p>
      <w:r>
        <w:t xml:space="preserve">ChemVerbotsV im Übrigen</w:t>
      </w:r>
    </w:p>
    <w:p>
      <w:r>
        <w:t xml:space="preserve">wie Nr. 19.1</w:t>
      </w:r>
    </w:p>
    <w:p>
      <w:r>
        <w:t xml:space="preserve">21.</w:t>
      </w:r>
    </w:p>
    <w:p>
      <w:r>
        <w:t xml:space="preserve">Lösemittelhaltige Farben- und Lack-Verordnung</w:t>
      </w:r>
    </w:p>
    <w:p>
      <w:r>
        <w:t xml:space="preserve">GAA NB</w:t>
      </w:r>
    </w:p>
    <w:p>
      <w:r>
        <w:t xml:space="preserve">22.</w:t>
      </w:r>
    </w:p>
    <w:p>
      <w:r>
        <w:t xml:space="preserve">Verordnung (EU) Nr. 649/2012</w:t>
      </w:r>
    </w:p>
    <w:p>
      <w:r>
        <w:t xml:space="preserve">GAA NB</w:t>
      </w:r>
    </w:p>
    <w:p>
      <w:r>
        <w:t xml:space="preserve">23.</w:t>
      </w:r>
    </w:p>
    <w:p>
      <w:r>
        <w:t xml:space="preserve">Verordnung (EU) 2019/1021</w:t>
      </w:r>
    </w:p>
    <w:p>
      <w:r>
        <w:t xml:space="preserve">23.1</w:t>
      </w:r>
    </w:p>
    <w:p>
      <w:r>
        <w:t xml:space="preserve">Art. 7 der Verordnung (EU) 2019/1021</w:t>
      </w:r>
    </w:p>
    <w:p>
      <w:r>
        <w:t xml:space="preserve">siehe Art. 25 Bayerisches Abfallwirtschaftsgesetz</w:t>
      </w:r>
    </w:p>
    <w:p>
      <w:r>
        <w:t xml:space="preserve">23.2</w:t>
      </w:r>
    </w:p>
    <w:p>
      <w:r>
        <w:t xml:space="preserve">Verordnung (EU) 2019/1021 im Übrigen</w:t>
      </w:r>
    </w:p>
    <w:p>
      <w:r>
        <w:t xml:space="preserve">GAA NB</w:t>
      </w:r>
    </w:p>
    <w:p>
      <w:r>
        <w:t xml:space="preserve">24.</w:t>
      </w:r>
    </w:p>
    <w:p>
      <w:r>
        <w:t xml:space="preserve">Verordnung (EG) Nr. 1907/2006</w:t>
      </w:r>
    </w:p>
    <w:p>
      <w:r>
        <w:t xml:space="preserve">24.1</w:t>
      </w:r>
    </w:p>
    <w:p>
      <w:r>
        <w:t xml:space="preserve">Art. 7 Abs. 2 und 3, Art. 33, 55 bis 66 Verordnung (EG) Nr. 1907/2006</w:t>
      </w:r>
    </w:p>
    <w:p>
      <w:r>
        <w:t xml:space="preserve">GAA OFr.</w:t>
      </w:r>
    </w:p>
    <w:p>
      <w:r>
        <w:t xml:space="preserve">24.2</w:t>
      </w:r>
    </w:p>
    <w:p>
      <w:r>
        <w:t xml:space="preserve">Art. 35 Verordnung (EG) Nr. 1907/2006</w:t>
      </w:r>
    </w:p>
    <w:p>
      <w:r>
        <w:t xml:space="preserve">GAA</w:t>
      </w:r>
    </w:p>
    <w:p>
      <w:r>
        <w:t xml:space="preserve">24.3</w:t>
      </w:r>
    </w:p>
    <w:p>
      <w:r>
        <w:t xml:space="preserve">Art. 67 Abs. 1 der Verordnung (EG) Nr. 1907/2006 in Verbindung mit Anhang XVII Nr. 4, 5 Abs. 1 und 2, Nr. 7 bis 11, 20 Abs. 6 (mit Ausnahme von Buchst. a) Spiegelstrich 4 und 8, Nr. 23 Abs. 10 und 11, Nrn. 27, 40 Abs. 1 Spiegelstrich 3, 4, 5, 8 und 9, Nr. 43 (mit Ausnahme von Abs. 3), Nr. 47 Abs. 5 bis 7, Nr. 50 Abs. 5 der Verordnung (EG) Nr. 1907/2006 für die in Spiegelstriche 4 und 5 genannten und ihnen vergleichbare Erzeugnisse sowie Abs. 6, Nr. 51 Abs. 1 und 2, Nr. 52, Nr. 63 Abs. 1 bis 10, Nr. 64, Nr. 72 und Nr. 75</w:t>
      </w:r>
    </w:p>
    <w:p>
      <w:r>
        <w:t xml:space="preserve">KVB</w:t>
      </w:r>
    </w:p>
    <w:p>
      <w:r>
        <w:t xml:space="preserve">24.4</w:t>
      </w:r>
    </w:p>
    <w:p>
      <w:r>
        <w:t xml:space="preserve">Verordnung (EG) Nr. 1907/2006 im Übrigen</w:t>
      </w:r>
    </w:p>
    <w:p>
      <w:r>
        <w:t xml:space="preserve">GAA UFr.</w:t>
      </w:r>
    </w:p>
    <w:p>
      <w:r>
        <w:t xml:space="preserve">25.</w:t>
      </w:r>
    </w:p>
    <w:p>
      <w:r>
        <w:t xml:space="preserve">Verordnung (EU) 2024/573</w:t>
      </w:r>
    </w:p>
    <w:p>
      <w:r>
        <w:t xml:space="preserve">und Chemikalien-Klimaschutzverordnung (ChemKlimaschutzV)</w:t>
      </w:r>
    </w:p>
    <w:p>
      <w:r>
        <w:t xml:space="preserve">25.1</w:t>
      </w:r>
    </w:p>
    <w:p>
      <w:r>
        <w:t xml:space="preserve">Verordnung (EU) 2024/573</w:t>
      </w:r>
    </w:p>
    <w:p>
      <w:r>
        <w:t xml:space="preserve">wie Nr. 19.1</w:t>
      </w:r>
    </w:p>
    <w:p>
      <w:r>
        <w:t xml:space="preserve">25.2</w:t>
      </w:r>
    </w:p>
    <w:p>
      <w:r>
        <w:t xml:space="preserve">§ 4 Abs. 2 und 3 ChemKlimaschutzV</w:t>
      </w:r>
    </w:p>
    <w:p>
      <w:r>
        <w:t xml:space="preserve">vgl. § 1 in Verbindung mit Anlage Nr. 17 AbfZustV</w:t>
      </w:r>
    </w:p>
    <w:p>
      <w:r>
        <w:t xml:space="preserve">25.3</w:t>
      </w:r>
    </w:p>
    <w:p>
      <w:r>
        <w:t xml:space="preserve">a) Anerkennung von Stellen zur Abnahme von Prüfungen, Ausstellung von Sachkundebescheinigungen sowie zur Durchführung von Trainingsprogrammen und Auffrischungskursen</w:t>
      </w:r>
    </w:p>
    <w:p>
      <w:r>
        <w:t xml:space="preserve">LfU</w:t>
      </w:r>
    </w:p>
    <w:p>
      <w:r>
        <w:t xml:space="preserve">b) Erteilung von Unternehmenszertifikaten nach den Bestimmungen der ChemKlimaschutzV</w:t>
      </w:r>
    </w:p>
    <w:p>
      <w:r>
        <w:t xml:space="preserve">25.4</w:t>
      </w:r>
    </w:p>
    <w:p>
      <w:r>
        <w:t xml:space="preserve">ChemKlimaschutzV im Übrigen</w:t>
      </w:r>
    </w:p>
    <w:p>
      <w:r>
        <w:t xml:space="preserve">wie Nr. 19.1</w:t>
      </w:r>
    </w:p>
    <w:p>
      <w:r>
        <w:t xml:space="preserve">26.</w:t>
      </w:r>
    </w:p>
    <w:p>
      <w:r>
        <w:t xml:space="preserve">Verordnung (EU) 2017/852</w:t>
      </w:r>
    </w:p>
    <w:p>
      <w:r>
        <w:t xml:space="preserve">Art. 3, Art. 4 (mit Ausnahme von Abs. 1 Satz 2 und Quecksilberabfällen), Art. 5, Art. 7 Abs. 1 und 2, Art. 8 Abs. 1 und 2 sowie Art. 9 Abs. 1 (mit Ausnahme des kleingewerblichen Goldbergbaus) der Verordnung (EU) 2017/852</w:t>
      </w:r>
    </w:p>
    <w:p>
      <w:r>
        <w:t xml:space="preserve">GAA NB</w:t>
      </w:r>
    </w:p>
    <w:p>
      <w:r>
        <w:t xml:space="preserve">27.</w:t>
      </w:r>
    </w:p>
    <w:p>
      <w:r>
        <w:t xml:space="preserve">Sprengstoffgesetz (SprengG)</w:t>
      </w:r>
    </w:p>
    <w:p>
      <w:r>
        <w:t xml:space="preserve">27.1</w:t>
      </w:r>
    </w:p>
    <w:p>
      <w:r>
        <w:t xml:space="preserve">§ 5e Abs. 2 Satz 1 Nr. 2 und Abs. 5 Satz 1 SprengG</w:t>
      </w:r>
    </w:p>
    <w:p>
      <w:r>
        <w:t xml:space="preserve">ZLS</w:t>
      </w:r>
    </w:p>
    <w:p>
      <w:r>
        <w:t xml:space="preserve">27.2</w:t>
      </w:r>
    </w:p>
    <w:p>
      <w:r>
        <w:t xml:space="preserve">§ 15 Abs. 6, 7 Nr. 1, § 21 Abs. 3 Satz 4, §§ 23, 26 Abs. 2, § 27 Abs. 1 und 5, §§ 34 und 35 SprengG – nur bei Treibladungspulver für Böller, Vorderlader und zum Wiederladen von Patronenhülsen –</w:t>
      </w:r>
    </w:p>
    <w:p>
      <w:r>
        <w:t xml:space="preserve">KVB</w:t>
      </w:r>
    </w:p>
    <w:p>
      <w:r>
        <w:t xml:space="preserve">27.3</w:t>
      </w:r>
    </w:p>
    <w:p>
      <w:r>
        <w:t xml:space="preserve">§ 17 Abs. 4 SprengG</w:t>
      </w:r>
    </w:p>
    <w:p>
      <w:r>
        <w:t xml:space="preserve">GAA OB</w:t>
      </w:r>
    </w:p>
    <w:p>
      <w:r>
        <w:t xml:space="preserve">27.4</w:t>
      </w:r>
    </w:p>
    <w:p>
      <w:r>
        <w:t xml:space="preserve">§ 26 Abs. 1 SprengG</w:t>
      </w:r>
    </w:p>
    <w:p>
      <w:r>
        <w:t xml:space="preserve">Pol</w:t>
      </w:r>
    </w:p>
    <w:p>
      <w:r>
        <w:t xml:space="preserve">27.5</w:t>
      </w:r>
    </w:p>
    <w:p>
      <w:r>
        <w:t xml:space="preserve">§§ 30, 31 Abs. 1 und 2, § 32 SprengG</w:t>
      </w:r>
    </w:p>
    <w:p>
      <w:r>
        <w:t xml:space="preserve">a)</w:t>
      </w:r>
    </w:p>
    <w:p>
      <w:r>
        <w:t xml:space="preserve">bei Treibladungspulver für Böller, Vorderlader und zum Wiederladen von Patronenhülsen</w:t>
      </w:r>
    </w:p>
    <w:p>
      <w:r>
        <w:t xml:space="preserve">a)</w:t>
      </w:r>
    </w:p>
    <w:p>
      <w:r>
        <w:t xml:space="preserve">KVB</w:t>
      </w:r>
    </w:p>
    <w:p>
      <w:r>
        <w:t xml:space="preserve">b)</w:t>
      </w:r>
    </w:p>
    <w:p>
      <w:r>
        <w:t xml:space="preserve">in Verbindung mit § 23 Abs. 2 der 1. SprengV</w:t>
      </w:r>
    </w:p>
    <w:p>
      <w:r>
        <w:t xml:space="preserve">b)</w:t>
      </w:r>
    </w:p>
    <w:p>
      <w:r>
        <w:t xml:space="preserve">Gde</w:t>
      </w:r>
    </w:p>
    <w:p>
      <w:r>
        <w:t xml:space="preserve">c)</w:t>
      </w:r>
    </w:p>
    <w:p>
      <w:r>
        <w:t xml:space="preserve">für die Verbringung</w:t>
      </w:r>
    </w:p>
    <w:p>
      <w:r>
        <w:t xml:space="preserve">c)</w:t>
      </w:r>
    </w:p>
    <w:p>
      <w:r>
        <w:t xml:space="preserve">auch Pol</w:t>
      </w:r>
    </w:p>
    <w:p>
      <w:r>
        <w:t xml:space="preserve">28.</w:t>
      </w:r>
    </w:p>
    <w:p>
      <w:r>
        <w:t xml:space="preserve">Erste Verordnung zum Sprengstoffgesetz (1. SprengV)</w:t>
      </w:r>
    </w:p>
    <w:p>
      <w:r>
        <w:t xml:space="preserve">28.1</w:t>
      </w:r>
    </w:p>
    <w:p>
      <w:r>
        <w:t xml:space="preserve">§ 23 Abs. 6 Satz 2 1. SprengV</w:t>
      </w:r>
    </w:p>
    <w:p>
      <w:r>
        <w:t xml:space="preserve">a)</w:t>
      </w:r>
    </w:p>
    <w:p>
      <w:r>
        <w:t xml:space="preserve">Brandschutz</w:t>
      </w:r>
    </w:p>
    <w:p>
      <w:r>
        <w:t xml:space="preserve">a)</w:t>
      </w:r>
    </w:p>
    <w:p>
      <w:r>
        <w:t xml:space="preserve">Gde nach Bayerischem Feuerwehrgesetz</w:t>
      </w:r>
    </w:p>
    <w:p>
      <w:r>
        <w:t xml:space="preserve">b)</w:t>
      </w:r>
    </w:p>
    <w:p>
      <w:r>
        <w:t xml:space="preserve">öffentliche Sicherheit und Ordnung</w:t>
      </w:r>
    </w:p>
    <w:p>
      <w:r>
        <w:t xml:space="preserve">b)</w:t>
      </w:r>
    </w:p>
    <w:p>
      <w:r>
        <w:t xml:space="preserve">für die öffentliche Sicherheit und Ordnung nach allgemeinem Sicherheitsrecht zuständige Behörden</w:t>
      </w:r>
    </w:p>
    <w:p>
      <w:r>
        <w:t xml:space="preserve">28.2</w:t>
      </w:r>
    </w:p>
    <w:p>
      <w:r>
        <w:t xml:space="preserve">§ 24 Abs. 1 1. SprengV</w:t>
      </w:r>
    </w:p>
    <w:p>
      <w:r>
        <w:t xml:space="preserve">a)</w:t>
      </w:r>
    </w:p>
    <w:p>
      <w:r>
        <w:t xml:space="preserve">nur in Verbindung mit § 20 Abs. 1 1. SprengV</w:t>
      </w:r>
    </w:p>
    <w:p>
      <w:r>
        <w:t xml:space="preserve">a)</w:t>
      </w:r>
    </w:p>
    <w:p>
      <w:r>
        <w:t xml:space="preserve">GAA OB</w:t>
      </w:r>
    </w:p>
    <w:p>
      <w:r>
        <w:t xml:space="preserve">b)</w:t>
      </w:r>
    </w:p>
    <w:p>
      <w:r>
        <w:t xml:space="preserve">nur in Verbindung mit § 23 Abs. 1 und 2 1. SprengV</w:t>
      </w:r>
    </w:p>
    <w:p>
      <w:r>
        <w:t xml:space="preserve">b)</w:t>
      </w:r>
    </w:p>
    <w:p>
      <w:r>
        <w:t xml:space="preserve">Gde</w:t>
      </w:r>
    </w:p>
    <w:p>
      <w:r>
        <w:t xml:space="preserve">28.3</w:t>
      </w:r>
    </w:p>
    <w:p>
      <w:r>
        <w:t xml:space="preserve">§ 24 Abs. 2 Satz 1 1. SprengV</w:t>
      </w:r>
    </w:p>
    <w:p>
      <w:r>
        <w:t xml:space="preserve">Gde</w:t>
      </w:r>
    </w:p>
    <w:p>
      <w:r>
        <w:t xml:space="preserve">28.4</w:t>
      </w:r>
    </w:p>
    <w:p>
      <w:r>
        <w:t xml:space="preserve">§ 19 Abs. 2, § 32 Abs. 1, §§ 36, 40 Abs. 5, § 40a Abs. 1, § 48 1. SprengV</w:t>
      </w:r>
    </w:p>
    <w:p>
      <w:r>
        <w:t xml:space="preserve">GAA OB</w:t>
      </w:r>
    </w:p>
    <w:p>
      <w:r>
        <w:t xml:space="preserve">28.5</w:t>
      </w:r>
    </w:p>
    <w:p>
      <w:r>
        <w:t xml:space="preserve">§ 34 Abs. 2 1. SprengV: nur bei Treibladungspulver für Böller, Vorderlader und zum Wiederladen von Patronenhülsen</w:t>
      </w:r>
    </w:p>
    <w:p>
      <w:r>
        <w:t xml:space="preserve">KVB</w:t>
      </w:r>
    </w:p>
    <w:p>
      <w:r>
        <w:t xml:space="preserve">29.</w:t>
      </w:r>
    </w:p>
    <w:p>
      <w:r>
        <w:t xml:space="preserve">Medizinprodukterecht-Durchführungsgesetz (MPDG)</w:t>
      </w:r>
    </w:p>
    <w:p>
      <w:r>
        <w:t xml:space="preserve">29.1</w:t>
      </w:r>
    </w:p>
    <w:p>
      <w:r>
        <w:t xml:space="preserve">Strahlenschutzrechtliche Fragen zu Produkten im Anwendungsbereich der Verordnungen (EU) 2017/745 und (EU) 2017/746, die radioaktive Stoffe oder der Strahlenschutzverordnung unterliegende Anlagen zur Erzeugung ionisierender Strahlen enthalten</w:t>
      </w:r>
    </w:p>
    <w:p>
      <w:r>
        <w:t xml:space="preserve">LfU</w:t>
      </w:r>
    </w:p>
    <w:p>
      <w:r>
        <w:t xml:space="preserve">29.2</w:t>
      </w:r>
    </w:p>
    <w:p>
      <w:r>
        <w:t xml:space="preserve">Aufgaben und Befugnisse der für benannte Stellen zuständigen Behörde nach dem MPDG</w:t>
      </w:r>
    </w:p>
    <w:p>
      <w:r>
        <w:t xml:space="preserve">ZLG</w:t>
      </w:r>
    </w:p>
    <w:p>
      <w:r>
        <w:t xml:space="preserve">29.3</w:t>
      </w:r>
    </w:p>
    <w:p>
      <w:r>
        <w:t xml:space="preserve">§ 10 MPDG für</w:t>
      </w:r>
    </w:p>
    <w:p>
      <w:r>
        <w:t xml:space="preserve">a) aktive Produkte im Anwendungsbereich der Verordnung (EU) 2017/745 und energetisch betriebene In-Vitro-Diagnostika im Anwendungsbereich der Verordnung (EU) 2017/746</w:t>
      </w:r>
    </w:p>
    <w:p>
      <w:r>
        <w:t xml:space="preserve">a) LGL</w:t>
      </w:r>
    </w:p>
    <w:p>
      <w:r>
        <w:t xml:space="preserve">b) nichtaktive Produkte im Anwendungsbereich der Verordnungen (EU) 2017/745 und (EU) 2017/746</w:t>
      </w:r>
    </w:p>
    <w:p>
      <w:r>
        <w:t xml:space="preserve">b) Reg OB für OB, NB, Schw., im Übrigen Reg OFr.</w:t>
      </w:r>
    </w:p>
    <w:p>
      <w:r>
        <w:t xml:space="preserve">29.4</w:t>
      </w:r>
    </w:p>
    <w:p>
      <w:r>
        <w:t xml:space="preserve">§ 45 Abs. 6, § 53 Abs. 3, § 54 Abs. 2, § 60 Abs. 4, § 66 Abs. 2, §§ 68, 78 Abs. 1 Satz 2 Nr. 5 MPDG für</w:t>
      </w:r>
    </w:p>
    <w:p>
      <w:r>
        <w:t xml:space="preserve">a) die klinische Prüfung aktiver Produkte im Anwendungsbereich der Verordnung (EU) 2017/745 und energetisch betriebener In-Vitro-Diagnostika im Anwendungsbereich der Verordnung (EU) 2017/746</w:t>
      </w:r>
    </w:p>
    <w:p>
      <w:r>
        <w:t xml:space="preserve">a) wie Nr. 29.3 Buchst. a</w:t>
      </w:r>
    </w:p>
    <w:p>
      <w:r>
        <w:t xml:space="preserve">b) die klinische Prüfung nichtaktiver Produkte im Anwendungsbereich der Verordnungen (EU) 2017/745 und (EU) 2017/746</w:t>
      </w:r>
    </w:p>
    <w:p>
      <w:r>
        <w:t xml:space="preserve">b) wie Nr. 29.3 Buchst. b</w:t>
      </w:r>
    </w:p>
    <w:p>
      <w:r>
        <w:t xml:space="preserve">29.5</w:t>
      </w:r>
    </w:p>
    <w:p>
      <w:r>
        <w:t xml:space="preserve">§ 74 Abs. 2 Nr. 6 MPDG – nur für öffentliche Warnungen – bezüglich nichtaktiver Produkte im Anwendungsbereich der Verordnungen (EU) 2017/745 und (EU) 2017/746 im Hinblick auf Marktüberwachung</w:t>
      </w:r>
    </w:p>
    <w:p>
      <w:r>
        <w:t xml:space="preserve">wie Nr. 29.3 Buchst. b und LGL</w:t>
      </w:r>
    </w:p>
    <w:p>
      <w:r>
        <w:t xml:space="preserve">29.6</w:t>
      </w:r>
    </w:p>
    <w:p>
      <w:r>
        <w:t xml:space="preserve">Fragen hinsichtlich der Messfunktion von Produkten im Anwendungsbereich der Verordnungen (EU) 2017/745 und (EU) 2017/746, die messtechnischen Kontrollen unterliegen</w:t>
      </w:r>
    </w:p>
    <w:p>
      <w:r>
        <w:t xml:space="preserve">LMG</w:t>
      </w:r>
    </w:p>
    <w:p>
      <w:r>
        <w:t xml:space="preserve">29.7</w:t>
      </w:r>
    </w:p>
    <w:p>
      <w:r>
        <w:t xml:space="preserve">Fragen hinsichtlich der Beachtung der Vorschriften über die Werbung auf dem Gebiet des Heilwesens gemäß § 77 Abs. 2 Satz 2 Nr. 1 MPDG für</w:t>
      </w:r>
    </w:p>
    <w:p>
      <w:r>
        <w:t xml:space="preserve">a) aktive Produkte im Anwendungsbereich der Verordnung (EU) 2017/745 und energetisch betriebene In-Vitro-Diagnostika im Anwendungsbereich der Verordnung (EU) 2017/746</w:t>
      </w:r>
    </w:p>
    <w:p>
      <w:r>
        <w:t xml:space="preserve">a) wie Nr. 38.5</w:t>
      </w:r>
    </w:p>
    <w:p>
      <w:r>
        <w:t xml:space="preserve">b) nichtaktive Produkte im Anwendungsbereich der Verordnungen (EU) 2017/745 und (EU) 2017/746</w:t>
      </w:r>
    </w:p>
    <w:p>
      <w:r>
        <w:t xml:space="preserve">b) wie Nr. 29.3 Buchst. b</w:t>
      </w:r>
    </w:p>
    <w:p>
      <w:r>
        <w:t xml:space="preserve">30.</w:t>
      </w:r>
    </w:p>
    <w:p>
      <w:r>
        <w:t xml:space="preserve">Medizinprodukte-Betreiberverordnung (MPBetreibV)</w:t>
      </w:r>
    </w:p>
    <w:p>
      <w:r>
        <w:t xml:space="preserve">30.1</w:t>
      </w:r>
    </w:p>
    <w:p>
      <w:r>
        <w:t xml:space="preserve">Strahlenschutzrechtliche Fragen zu Medizinprodukten, die radioaktive Stoffe oder der Strahlenschutzverordnung unterliegende Anlagen zur Erzeugung ionisierender Strahlen enthalten – ausgenommen §§ 11 bis 13 MPBetreibV –</w:t>
      </w:r>
    </w:p>
    <w:p>
      <w:r>
        <w:t xml:space="preserve">LfU</w:t>
      </w:r>
    </w:p>
    <w:p>
      <w:r>
        <w:t xml:space="preserve">30.2</w:t>
      </w:r>
    </w:p>
    <w:p>
      <w:r>
        <w:t xml:space="preserve">§ 10, Anlage 2 Nr. 3.2 MPBetreibV</w:t>
      </w:r>
    </w:p>
    <w:p>
      <w:r>
        <w:t xml:space="preserve">LMG</w:t>
      </w:r>
    </w:p>
    <w:p>
      <w:r>
        <w:t xml:space="preserve">31.</w:t>
      </w:r>
    </w:p>
    <w:p>
      <w:r>
        <w:t xml:space="preserve">Medizinprodukte-Anwendermelde- und Informationsverordnung (MPAMIV)</w:t>
      </w:r>
    </w:p>
    <w:p>
      <w:r>
        <w:t xml:space="preserve">31.1</w:t>
      </w:r>
    </w:p>
    <w:p>
      <w:r>
        <w:t xml:space="preserve">Zuständige Behörde nach § 8 MPAMIV</w:t>
      </w:r>
    </w:p>
    <w:p>
      <w:r>
        <w:t xml:space="preserve">a) für aktive Produkte im Anwendungsbereich der Verordnung (EU) 2017/745 und energetisch betriebene In-Vitro-Diagnostika im Anwendungsbereich der Verordnung (EU) 2017/746</w:t>
      </w:r>
    </w:p>
    <w:p>
      <w:r>
        <w:t xml:space="preserve">a) wie Nr. 38.5</w:t>
      </w:r>
    </w:p>
    <w:p>
      <w:r>
        <w:t xml:space="preserve">b) für nichtaktive Produkte im Anwendungsbereich der Verordnungen (EU) 2017/745 und (EU) 2017/746</w:t>
      </w:r>
    </w:p>
    <w:p>
      <w:r>
        <w:t xml:space="preserve">b) wie Nr. 29.3 Buchst. b</w:t>
      </w:r>
    </w:p>
    <w:p>
      <w:r>
        <w:t xml:space="preserve">31.2</w:t>
      </w:r>
    </w:p>
    <w:p>
      <w:r>
        <w:t xml:space="preserve">für benannte Stellen zuständige Behörde nach § 10 Abs. 2 und § 14 MPAMIV</w:t>
      </w:r>
    </w:p>
    <w:p>
      <w:r>
        <w:t xml:space="preserve">ZLG</w:t>
      </w:r>
    </w:p>
    <w:p>
      <w:r>
        <w:t xml:space="preserve">32.</w:t>
      </w:r>
    </w:p>
    <w:p>
      <w:r>
        <w:t xml:space="preserve">Barrierefreiheitsstärkungsgesetz und Verordnung zum Barrierefreiheitsstärkungsgesetz</w:t>
      </w:r>
    </w:p>
    <w:p>
      <w:r>
        <w:t xml:space="preserve">GAA NB für OB, NB und Schw., im Übrigen GAA OFr.</w:t>
      </w:r>
    </w:p>
    <w:p>
      <w:r>
        <w:t xml:space="preserve">33.</w:t>
      </w:r>
    </w:p>
    <w:p>
      <w:r>
        <w:t xml:space="preserve">Gesetz über Betriebsärzte, Sicherheitsingenieure und andere Fachkräfte für Arbeitssicherheit</w:t>
      </w:r>
    </w:p>
    <w:p>
      <w:r>
        <w:t xml:space="preserve">§ 7 Abs. 1 Gesetz über Betriebsärzte, Sicherheitsingenieure und andere Fachkräfte für Arbeitssicherheit in Verbindung mit § 14 Satz 2 dieses Gesetzes in Verbindung mit § 15 Abs. 1 Nr. 6 Siebtes Buch Sozialgesetzbuch und der jeweiligen Unfallverhütungsvorschrift hinsichtlich der Anerkennung von Ausbildungslehrgängen für Fachkräfte für Arbeitssicherheit</w:t>
      </w:r>
    </w:p>
    <w:p>
      <w:r>
        <w:t xml:space="preserve">StMAS</w:t>
      </w:r>
    </w:p>
    <w:p>
      <w:r>
        <w:t xml:space="preserve">34.</w:t>
      </w:r>
    </w:p>
    <w:p>
      <w:r>
        <w:t xml:space="preserve">Pflegezeitgesetz (PflegeZG)</w:t>
      </w:r>
    </w:p>
    <w:p>
      <w:r>
        <w:t xml:space="preserve">§ 5 Abs. 2 Satz 1 PflegeZG</w:t>
      </w:r>
    </w:p>
    <w:p>
      <w:r>
        <w:t xml:space="preserve">wie Nr. 15</w:t>
      </w:r>
    </w:p>
    <w:p>
      <w:r>
        <w:t xml:space="preserve">35.</w:t>
      </w:r>
    </w:p>
    <w:p>
      <w:r>
        <w:t xml:space="preserve">Familienpflegezeitgesetz (FPfZG)</w:t>
      </w:r>
    </w:p>
    <w:p>
      <w:r>
        <w:t xml:space="preserve">§ 2 Abs. 3 FPfZG in Verbindung mit § 5 Abs. 2 Satz 1 PflegeZG</w:t>
      </w:r>
    </w:p>
    <w:p>
      <w:r>
        <w:t xml:space="preserve">wie Nr. 15</w:t>
      </w:r>
    </w:p>
    <w:p>
      <w:r>
        <w:t xml:space="preserve">36.</w:t>
      </w:r>
    </w:p>
    <w:p>
      <w:r>
        <w:t xml:space="preserve">Ortsbewegliche-Druckgeräte-Verordnung (ODV)</w:t>
      </w:r>
    </w:p>
    <w:p>
      <w:r>
        <w:t xml:space="preserve">36.1</w:t>
      </w:r>
    </w:p>
    <w:p>
      <w:r>
        <w:t xml:space="preserve">§§ 3 bis 6 ODV</w:t>
      </w:r>
    </w:p>
    <w:p>
      <w:r>
        <w:t xml:space="preserve">GAA OPf.</w:t>
      </w:r>
    </w:p>
    <w:p>
      <w:r>
        <w:t xml:space="preserve">36.2</w:t>
      </w:r>
    </w:p>
    <w:p>
      <w:r>
        <w:t xml:space="preserve">Abschnitt 4 ODV</w:t>
      </w:r>
    </w:p>
    <w:p>
      <w:r>
        <w:t xml:space="preserve">ZLS</w:t>
      </w:r>
    </w:p>
    <w:p>
      <w:r>
        <w:t xml:space="preserve">37.</w:t>
      </w:r>
    </w:p>
    <w:p>
      <w:r>
        <w:t xml:space="preserve">Gewerbeordnung</w:t>
      </w:r>
    </w:p>
    <w:p>
      <w:r>
        <w:t xml:space="preserve">§ 51 Satz 1 Gewerbeordnung</w:t>
      </w:r>
    </w:p>
    <w:p>
      <w:r>
        <w:t xml:space="preserve">KVB</w:t>
      </w:r>
    </w:p>
    <w:p>
      <w:r>
        <w:t xml:space="preserve">38.</w:t>
      </w:r>
    </w:p>
    <w:p>
      <w:r>
        <w:t xml:space="preserve">Verordnung (EU) 2019/1020 und Marktüberwachungsgesetz (MüG) – Marktüberwachung</w:t>
      </w:r>
    </w:p>
    <w:p>
      <w:r>
        <w:t xml:space="preserve">38.1</w:t>
      </w:r>
    </w:p>
    <w:p>
      <w:r>
        <w:t xml:space="preserve">bezüglich Produktsicherheitsrecht</w:t>
      </w:r>
    </w:p>
    <w:p>
      <w:r>
        <w:t xml:space="preserve">GAA OB für OB, NB, Schw., im Übrigen GAA MFr., sofern nicht das Abkommen über die ZLS etwas anderes regelt</w:t>
      </w:r>
    </w:p>
    <w:p>
      <w:r>
        <w:t xml:space="preserve">38.2</w:t>
      </w:r>
    </w:p>
    <w:p>
      <w:r>
        <w:t xml:space="preserve">bezüglich produktbezogener Anforderungen beim Vollzug des Energieverbrauchskennzeichnungsgesetzes (EnVKG), der Energieverbrauchskennzeichnungsverordnung (EnKV) und der Verordnung (EU) 2020/740, der Verordnung (EU) 2017/1369 sowie aufgrund dieser Verordnung oder aufgrund der Richtlinie 2010/30/EU erlassener delegierter Rechtsakte</w:t>
      </w:r>
    </w:p>
    <w:p>
      <w:r>
        <w:t xml:space="preserve">GAA Schw.</w:t>
      </w:r>
    </w:p>
    <w:p>
      <w:r>
        <w:t xml:space="preserve">38.3</w:t>
      </w:r>
    </w:p>
    <w:p>
      <w:r>
        <w:t xml:space="preserve">bezüglich produktbezogener Anforderungen beim Vollzug des Energieverbrauchsrelevante-Produkte-Gesetzes (EVPG) sowie der Art. 3, 40, 66, 67 und 69 bis 71 der Verordnung (EU) 2024/1781 für Produkte, die durch gemäß Art. 15 der Richtlinie 2009/125/EG erlassene Durchführungsmaßnahmen reguliert werden</w:t>
      </w:r>
    </w:p>
    <w:p>
      <w:r>
        <w:t xml:space="preserve">GAA NB</w:t>
      </w:r>
    </w:p>
    <w:p>
      <w:r>
        <w:t xml:space="preserve">38.4</w:t>
      </w:r>
    </w:p>
    <w:p>
      <w:r>
        <w:t xml:space="preserve">bezüglich Ortsbewegliche-Druckgeräte-Verordnung</w:t>
      </w:r>
    </w:p>
    <w:p>
      <w:r>
        <w:t xml:space="preserve">GAA OPf.</w:t>
      </w:r>
    </w:p>
    <w:p>
      <w:r>
        <w:t xml:space="preserve">38.5</w:t>
      </w:r>
    </w:p>
    <w:p>
      <w:r>
        <w:t xml:space="preserve">bezüglich Sprengstoffrecht</w:t>
      </w:r>
    </w:p>
    <w:p>
      <w:r>
        <w:t xml:space="preserve">GAA OPf.</w:t>
      </w:r>
    </w:p>
    <w:p>
      <w:r>
        <w:t xml:space="preserve">38.6</w:t>
      </w:r>
    </w:p>
    <w:p>
      <w:r>
        <w:t xml:space="preserve">bezüglich der aktiven Produkte im Anwendungsbereich der Verordnung (EU) 2017/745 und der energetisch betriebenen In-Vitro-Diagnostika im Anwendungsbereich der Verordnung (EU) 2017/746</w:t>
      </w:r>
    </w:p>
    <w:p>
      <w:r>
        <w:t xml:space="preserve">GAA OPf.</w:t>
      </w:r>
    </w:p>
    <w:p>
      <w:r>
        <w:t xml:space="preserve">38.7</w:t>
      </w:r>
    </w:p>
    <w:p>
      <w:r>
        <w:t xml:space="preserve">bezüglich der nichtaktiven Produkte im Anwendungsbereich der Verordnungen (EU) 2017/745 und (EU) 2017/746</w:t>
      </w:r>
    </w:p>
    <w:p>
      <w:r>
        <w:t xml:space="preserve">wie Nr. 29.3 Buchst. b</w:t>
      </w:r>
    </w:p>
    <w:p>
      <w:r>
        <w:t xml:space="preserve">39.</w:t>
      </w:r>
    </w:p>
    <w:p>
      <w:r>
        <w:t xml:space="preserve">Verordnung (EG) Nr. 1272/2008</w:t>
      </w:r>
    </w:p>
    <w:p>
      <w:r>
        <w:t xml:space="preserve">39.1</w:t>
      </w:r>
    </w:p>
    <w:p>
      <w:r>
        <w:t xml:space="preserve">Art. 45 Abs. 1 und 3</w:t>
      </w:r>
    </w:p>
    <w:p>
      <w:r>
        <w:t xml:space="preserve">GAA OFr. in Bezug auf Biozidprodukte</w:t>
      </w:r>
    </w:p>
    <w:p>
      <w:r>
        <w:t xml:space="preserve">39.2</w:t>
      </w:r>
    </w:p>
    <w:p>
      <w:r>
        <w:t xml:space="preserve">im Übrigen</w:t>
      </w:r>
    </w:p>
    <w:p>
      <w:r>
        <w:t xml:space="preserve">GAA Ufr.</w:t>
      </w:r>
    </w:p>
    <w:p>
      <w:r>
        <w:t xml:space="preserve">40.</w:t>
      </w:r>
    </w:p>
    <w:p>
      <w:r>
        <w:t xml:space="preserve">Verordnung (EU) Nr. 528/2012 einschließlich der Biozidrechts-Durchführungsverordnung</w:t>
      </w:r>
    </w:p>
    <w:p>
      <w:r>
        <w:t xml:space="preserve">GAA OFr.</w:t>
      </w:r>
    </w:p>
    <w:p>
      <w:r>
        <w:t xml:space="preserve">41.</w:t>
      </w:r>
    </w:p>
    <w:p>
      <w:r>
        <w:t xml:space="preserve">Gewerbeärztlicher Dienst</w:t>
      </w:r>
    </w:p>
    <w:p>
      <w:r>
        <w:t xml:space="preserve">für NB</w:t>
      </w:r>
    </w:p>
    <w:p>
      <w:r>
        <w:t xml:space="preserve">GAA OPf.</w:t>
      </w:r>
    </w:p>
    <w:p>
      <w:r>
        <w:t xml:space="preserve">42.</w:t>
      </w:r>
    </w:p>
    <w:p>
      <w:r>
        <w:t xml:space="preserve">Verordnung (EU) 2019/1148</w:t>
      </w:r>
    </w:p>
    <w:p>
      <w:r>
        <w:t xml:space="preserve">42.1</w:t>
      </w:r>
    </w:p>
    <w:p>
      <w:r>
        <w:t xml:space="preserve">Art. 7 Abs. 3 sowie Art. 8 Abs. 5 der Verordnung (EU) 2019/1148</w:t>
      </w:r>
    </w:p>
    <w:p>
      <w:r>
        <w:t xml:space="preserve">GAA Ufr.</w:t>
      </w:r>
    </w:p>
    <w:p>
      <w:r>
        <w:t xml:space="preserve">42.2</w:t>
      </w:r>
    </w:p>
    <w:p>
      <w:r>
        <w:t xml:space="preserve">Art. 9 der Verordnung (EU) 2019/1148</w:t>
      </w:r>
    </w:p>
    <w:p>
      <w:r>
        <w:t xml:space="preserve">LKA</w:t>
      </w:r>
    </w:p>
    <w:p>
      <w:r>
        <w:t xml:space="preserve">43.</w:t>
      </w:r>
    </w:p>
    <w:p>
      <w:r>
        <w:t xml:space="preserve">Ausgangsstoffgesetz (AusgStG)</w:t>
      </w:r>
    </w:p>
    <w:p>
      <w:r>
        <w:t xml:space="preserve">43.1</w:t>
      </w:r>
    </w:p>
    <w:p>
      <w:r>
        <w:t xml:space="preserve">§ 3 AusgStG</w:t>
      </w:r>
    </w:p>
    <w:p>
      <w:r>
        <w:t xml:space="preserve">LKA</w:t>
      </w:r>
    </w:p>
    <w:p>
      <w:r>
        <w:t xml:space="preserve">43.2</w:t>
      </w:r>
    </w:p>
    <w:p>
      <w:r>
        <w:t xml:space="preserve">§ 11 Abs. 1 AusgStG</w:t>
      </w:r>
    </w:p>
    <w:p>
      <w:r>
        <w:t xml:space="preserve">StMUV</w:t>
      </w:r>
    </w:p>
    <w:p>
      <w:r>
        <w:t xml:space="preserve">44.</w:t>
      </w:r>
    </w:p>
    <w:p>
      <w:r>
        <w:t xml:space="preserve">Heimarbeitsgesetz (HAG)</w:t>
      </w:r>
    </w:p>
    <w:p>
      <w:r>
        <w:t xml:space="preserve">44.1</w:t>
      </w:r>
    </w:p>
    <w:p>
      <w:r>
        <w:t xml:space="preserve">Aufsicht über die Durchführung des HAG nach § 3 Abs. 2 Satz 1 HAG</w:t>
      </w:r>
    </w:p>
    <w:p>
      <w:r>
        <w:t xml:space="preserve">StMAS, GAA (jeweils selbständig)</w:t>
      </w:r>
    </w:p>
    <w:p>
      <w:r>
        <w:t xml:space="preserve">44.2</w:t>
      </w:r>
    </w:p>
    <w:p>
      <w:r>
        <w:t xml:space="preserve">Befugnisse nach § 6 Satz 2, §§ 7, 9 Abs. 2 und 3 Satz 2, § 19 Abs. 3 Satz 3, §§ 24, 25 und 30 HAG sowie Entgeltprüfung nach § 23 Abs. 2 HAG</w:t>
      </w:r>
    </w:p>
    <w:p>
      <w:r>
        <w:t xml:space="preserve">GAA, in dessen Aufsichtsbezirk derjenige, demgegenüber die Aufgaben und Befugnisse auszuüben sind, seine Niederlassung oder, in Ermangelung einer solchen, seinen Wohnsitz hat. In den Gewerbeaufsichtsämtern bestehen mit Entgeltprüfern besetzte Entgeltüberwachungsstellen.</w:t>
      </w:r>
    </w:p>
    <w:p>
      <w:r>
        <w:rPr>
          <w:color w:val="555555"/>
          <w:sz w:val="17"/>
        </w:rPr>
        <w:t xml:space="preserve">Zitiervorschlag: Anlage ZustV-GA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https://recht.nulegal.eu/gesetze/ZustV-GA/anlage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