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ZustV-FM (Bayern) — Abrechnung von Umzugs- und Reisekostenvergütungen</w:t>
      </w:r>
    </w:p>
    <w:p>
      <w:r>
        <w:rPr>
          <w:color w:val="555555"/>
          <w:sz w:val="18"/>
        </w:rPr>
        <w:t xml:space="preserve">StMFH-Zuständigkeitsverordnung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Beschäftigten des Bayerischen Hauptmünzamtes und des Zentrums Staatsbäder wird dem Landesamt für Finanzen die Zuständigkeit übertragen</w:t>
      </w:r>
    </w:p>
    <w:p>
      <w:r>
        <w:t xml:space="preserve">1. für die Abrechnung von Umzugskostenvergütungen (Art. 15 Satz 1 des Bayerischen Umzugskostengesetzes),</w:t>
      </w:r>
    </w:p>
    <w:p>
      <w:r>
        <w:t xml:space="preserve">2. für die Abrechnung von Reisekostenvergütungen (Art. 26 Satz 1 des Bayerischen Reisekostengesetzes).</w:t>
      </w:r>
    </w:p>
    <w:p>
      <w:r>
        <w:rPr>
          <w:color w:val="555555"/>
          <w:sz w:val="17"/>
        </w:rPr>
        <w:t xml:space="preserve">Zitiervorschlag: § 9 ZustV-FM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https://recht.nulegal.eu/gesetze/ZustV-FM/9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