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ZustV-FM (Bayern) — Bewilligung und Abrechnung von Trennungsgeld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Zuständigkeit für die Bewilligung und Abrechnung von Trennungsgeld (§ 11 Satz 1 der Bayerischen Trennungsgeldverordnung – BayTGV) wird dem Landesamt für Finanzen für die Beschäftigten des Bayerischen Hauptmünzamtes und des Zentrums Staatsbäder übertragen.</w:t>
      </w:r>
    </w:p>
    <w:p>
      <w:r>
        <w:t xml:space="preserve">(2) Die für die Bewilligung von Trennungsgeld nach Abs. 1, § 11 Satz 1 BayTGV und § 4 Abs. 1 Satz 1 Nr. 1 der Bezüge-Zuständigkeitsverordnung zuständigen Stellen werden ermächtigt,</w:t>
      </w:r>
    </w:p>
    <w:p>
      <w:r>
        <w:t xml:space="preserve">1. gemäß § 2 Abs. 2 Satz 3 BayTGV das Trennungsgeld bis zum Wegfall des neuen Hinderungsgrundes im Sinn des § 2 Abs. 2 Satz 1 BayTGV, längstens bis zu einem Jahr, weiterzugewähren,</w:t>
      </w:r>
    </w:p>
    <w:p>
      <w:r>
        <w:t xml:space="preserve">2. gemäß § 4 Abs. 8 BayTGV entsprechend den notwendigen Mehrauslagen ein ermäßigtes Trennungsgeld festzusetzen.</w:t>
      </w:r>
    </w:p>
    <w:p>
      <w:r>
        <w:rPr>
          <w:color w:val="555555"/>
          <w:sz w:val="17"/>
        </w:rPr>
        <w:t xml:space="preserve">Zitiervorschlag: § 8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