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ZustV-FM (Bayern) — Abordnung und Versetzung</w:t>
      </w:r>
    </w:p>
    <w:p>
      <w:r>
        <w:rPr>
          <w:color w:val="555555"/>
          <w:sz w:val="18"/>
        </w:rPr>
        <w:t xml:space="preserve">StMFH-Zuständigkeitsverordnung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Zusätzlich zu den Befugnissen zur Abordnung und Versetzung gemäß Art. 49 Abs. 2 des Bayerischen Beamtengesetzes (BayBG) in Verbindung mit § 1 wird gemäß Art. 49 Abs. 3 BayBG</w:t>
      </w:r>
    </w:p>
    <w:p>
      <w:r>
        <w:t xml:space="preserve">1. den in § 1 Abs. 1 Nr. 1 genannten Behörden die Befugnis übertragen, die Beamtinnen und Beamten ihres Dienstbereichs abzuordnen,</w:t>
      </w:r>
    </w:p>
    <w:p>
      <w:r>
        <w:t xml:space="preserve">2. der in § 1 Abs. 1 Nr. 1 Buchst. b genannten Behörde die Befugnis übertragen, die Beamtinnen und Beamten der Besoldungsgruppe A 15 ihres Dienstbereichs zu versetzen, und</w:t>
      </w:r>
    </w:p>
    <w:p>
      <w:r>
        <w:t xml:space="preserve">3. der in § 1 Abs. 1 Nr. 2 genannten Behörde die Befugnis übertragen, die Richterinnen und Richter der Besoldungsgruppe R 1 ihres Dienstbereichs abzuordnen und zu versetzen.</w:t>
      </w:r>
    </w:p>
    <w:p>
      <w:r>
        <w:t xml:space="preserve">Die in § 1 Abs. 1 Nr. 1 Buchst. a und c bis h genannten Behörden haben keine Befugnis zur Abordnung und Versetzung, wenn mit der Abordnung oder Versetzung die Übertragung einer Dienststellenleitung verbunden ist.</w:t>
      </w:r>
    </w:p>
    <w:p>
      <w:r>
        <w:t xml:space="preserve">(2) Für Abordnungen und Versetzungen ist die vorherige Zustimmung des Staatsministeriums der Finanzen und für Heimat (Staatsministerium) erforderlich, soweit</w:t>
      </w:r>
    </w:p>
    <w:p>
      <w:r>
        <w:t xml:space="preserve">1. bei den in § 1 Abs. 1 Nr. 1 Buchst. a und c bis h genannten Behörden die Abordnung oder Versetzung der Übertragung von Dienstaufgaben eines Amts der Besoldungsgruppe A 15 und höher dient;</w:t>
      </w:r>
    </w:p>
    <w:p>
      <w:r>
        <w:t xml:space="preserve">2. bei der in § 1 Abs. 1 Nr. 2 genannten Behörde damit die Übertragung einer Fachbereichsleitung verbunden ist.</w:t>
      </w:r>
    </w:p>
    <w:p>
      <w:r>
        <w:rPr>
          <w:color w:val="555555"/>
          <w:sz w:val="17"/>
        </w:rPr>
        <w:t xml:space="preserve">Zitiervorschlag: § 2 ZustV-FM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https://recht.nulegal.eu/gesetze/ZustV-FM/2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