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ZustV-Bezüge (Bayern) — Wiedergutmachung nationalsozialistischen Unrechts</w:t>
      </w:r>
    </w:p>
    <w:p>
      <w:r>
        <w:rPr>
          <w:color w:val="555555"/>
          <w:sz w:val="18"/>
        </w:rPr>
        <w:t xml:space="preserve">Bezüge-Zuständigkeitsverordnung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versorgungsrechtliche Vollzug der Wiedergutmachungsbescheide nach dem Gesetz zur Regelung der Wiedergutmachung nationalsozialistischen Unrechts für Angehörige des öffentlichen Dienstes in der Fassung der Bekanntmachung vom 15. Dezember 1965 (BGBl I S. 2073), zuletzt geändert durch Art. 6 Abs. 22 des Gesetzes vom 27. Dezember 1993 (BGBl I S. 2378), welche vor dem 1. Oktober 1994 entstandene Ansprüche gegen den Freistaat Bayern betreffen, obliegt den nach § 5 zuständigen Pensionsbehörden. Für Versorgungsempfänger im Sinn des Art. 112 Satz 2 BayBeamtVG gilt Satz 1 entsprechend.</w:t>
      </w:r>
    </w:p>
    <w:p>
      <w:r>
        <w:rPr>
          <w:color w:val="555555"/>
          <w:sz w:val="17"/>
        </w:rPr>
        <w:t xml:space="preserve">Zitiervorschlag: § 7 ZustV-Bezüge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https://recht.nulegal.eu/gesetze/ZustV-Bez%C3%BCge/7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ZustV-Bezüge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