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ZustV-BM (Bayern) — Jubiläumszuwendungen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Zuständigkeit für die Entscheidung über die Gewährung oder Versagung von Jubiläumszuwendungen sowie die Ausstellung von Dankurkunden wird den in § 1 genannten Behörden mit Ernennungszuständigkeit für alle Beamten und Beamtinnen in ihren jeweiligen Dienstbereichen übertragen.</w:t>
      </w:r>
    </w:p>
    <w:p>
      <w:r>
        <w:t xml:space="preserve">(2) Abweichend von Abs. 1 werden die Dankurkunden für die Leiter und Leiterinnen der dem Staatsministerium nachgeordneten Behörden vom Staatsministerium ausgestellt.</w:t>
      </w:r>
    </w:p>
    <w:p>
      <w:r>
        <w:rPr>
          <w:color w:val="555555"/>
          <w:sz w:val="17"/>
        </w:rPr>
        <w:t xml:space="preserve">Zitiervorschlag: § 6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