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ZustV-BM (Bayern) — Rückforderung und Kürzung von Anwärterbezügen</w:t>
      </w:r>
    </w:p>
    <w:p>
      <w:r>
        <w:rPr>
          <w:color w:val="555555"/>
          <w:sz w:val="18"/>
        </w:rPr>
        <w:t xml:space="preserve">StMB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Zuständigkeit für die Entscheidungen über die Erteilung von Auflagen und für die Rückforderung von unter Auflagen gewährten Anwärterbezügen nach Art. 75 Abs. 2 Satz 2 des Bayerischen Besoldungsgesetzes (BayBesG) wird den in § 1 genannten Behörden mit Ernennungszuständigkeit für die Beamten und Beamtinnen ihres dort festgelegten Dienstbereichs übertragen.</w:t>
      </w:r>
    </w:p>
    <w:p>
      <w:r>
        <w:t xml:space="preserve">(2) Die Befugnis zur Kürzung der Anwärterbezüge nach Art. 81 Abs. 1 BayBesG wird den in § 1 genannten Behörden mit Ernennungszuständigkeit für die Anwärter und Anwärterinnen ihres dort festgelegten Dienstbereichs übertragen.</w:t>
      </w:r>
    </w:p>
    <w:p>
      <w:r>
        <w:rPr>
          <w:color w:val="555555"/>
          <w:sz w:val="17"/>
        </w:rPr>
        <w:t xml:space="preserve">Zitiervorschlag: § 5 ZustV-BM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https://recht.nulegal.eu/gesetze/ZustV-BM/5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