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ZustV-BM (Bayern) — Abordnung und Versetzung</w:t>
      </w:r>
    </w:p>
    <w:p>
      <w:r>
        <w:rPr>
          <w:color w:val="555555"/>
          <w:sz w:val="18"/>
        </w:rPr>
        <w:t xml:space="preserve">StMB Zuständigkeitsverordnung Beamtenrecht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Den in § 1 Abs. 1 genannten Behörden wird im Rahmen ihrer Ernennungszuständigkeit die Befugnis übertragen, die Beamten und Beamtinnen ihres dort festgelegten Dienstbereichs</w:t>
      </w:r>
    </w:p>
    <w:p>
      <w:r>
        <w:t xml:space="preserve">1. zu versetzen und</w:t>
      </w:r>
    </w:p>
    <w:p>
      <w:r>
        <w:t xml:space="preserve">2. auch soweit sie nicht Ernennungsbehörde sind, bis zur Dauer von einem Jahr, abzuordnen.</w:t>
      </w:r>
    </w:p>
    <w:p>
      <w:r>
        <w:rPr>
          <w:color w:val="555555"/>
          <w:sz w:val="17"/>
        </w:rPr>
        <w:t xml:space="preserve">Zitiervorschlag: § 2 ZustV-BM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https://recht.nulegal.eu/gesetze/ZustV-BM/2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