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ZustV-BM (Bayern) — Trennungsgeldrechtliche Zuständigkeiten</w:t>
      </w:r>
    </w:p>
    <w:p>
      <w:r>
        <w:rPr>
          <w:color w:val="555555"/>
          <w:sz w:val="18"/>
        </w:rPr>
        <w:t xml:space="preserve">StMB Zuständigkeitsverordnung Beamtenrecht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Befugnisse nach § 2 Abs. 2 Satz 3, § 3 Abs. 1 Satz 4 und § 4 Abs. 8 der Bayerischen Trennungsgeldverordnung werden den Beschäftigungsbehörden übertragen.</w:t>
      </w:r>
    </w:p>
    <w:p>
      <w:r>
        <w:t xml:space="preserve">(2) Abweichend von Abs. 1 werden die dort genannten Befugnisse den in § 1 Abs. 1 Nr. 1 genannten Behörden für die Beamten und Beamtinnen der den Regierungen nachgeordneten Behörden der Staatsbauverwaltung übertragen.</w:t>
      </w:r>
    </w:p>
    <w:p>
      <w:r>
        <w:rPr>
          <w:color w:val="555555"/>
          <w:sz w:val="17"/>
        </w:rPr>
        <w:t xml:space="preserve">Zitiervorschlag: § 11 ZustV-BM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https://recht.nulegal.eu/gesetze/ZustV-BM/11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