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ZustV-AM (Bayern)</w:t>
      </w:r>
    </w:p>
    <w:p>
      <w:r>
        <w:rPr>
          <w:color w:val="555555"/>
          <w:sz w:val="18"/>
        </w:rPr>
        <w:t xml:space="preserve">Verordnung über beamten-, richter-, disziplinar-, besoldungs- und reisekostenrechtliche Zuständigkeiten und die Einstufung von Dienstposten im Geschäftsbereich des Bayerischen Staatsministeriums für Familie, Arbeit und Soziales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15. September 2005</w:t>
      </w:r>
    </w:p>
    <w:p>
      <w:r>
        <w:t xml:space="preserve">Bayerisches Staatsministerium</w:t>
      </w:r>
    </w:p>
    <w:p>
      <w:r>
        <w:t xml:space="preserve">für Arbeit und Sozialordnung, Familie und Frauen</w:t>
      </w:r>
    </w:p>
    <w:p>
      <w:r>
        <w:t xml:space="preserve">Christa Stewens, Staatsministerin</w:t>
      </w:r>
    </w:p>
    <w:p>
      <w:r>
        <w:rPr>
          <w:color w:val="555555"/>
          <w:sz w:val="17"/>
        </w:rPr>
        <w:t xml:space="preserve">Zitiervorschlag: Schlussformel ZustV-AM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https://recht.nulegal.eu/gesetze/ZustV-AM/schlussformel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