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ZustV-AM (Bayern) — In-Kraft-Treten, Außer-Kraft-Treten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August 2005 in Kraft.</w:t>
      </w:r>
    </w:p>
    <w:p>
      <w:r>
        <w:t xml:space="preserve">(2) Mit Ablauf des 31. Juli 2005 tritt die Verordnung über beamten-, richter- und besoldungsrechtliche Zuständigkeiten und zur Durchführung der Bayerischen Disziplinarordnung im Geschäftsbereich des Bayerischen Staatsministeriums für Arbeit und Sozialordnung, Familie, Frauen und Gesundheit (ZustV-DVBayDO-AM) vom 7. Juli 1999 (GVBl S. 295, BayRS 2030-3-8-1-A), zuletzt geändert durch §§ 2, 3 Abs. 2 Nr. 6 der Verordnung vom 13. Februar 2001 (GVBl S. 54) außer Kraft.</w:t>
      </w:r>
    </w:p>
    <w:p>
      <w:r>
        <w:rPr>
          <w:color w:val="555555"/>
          <w:sz w:val="17"/>
        </w:rPr>
        <w:t xml:space="preserve">Zitiervorschlag: § 13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